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4CDBB" w14:textId="3EE88DAE" w:rsidR="000A3F54" w:rsidRPr="0075584F" w:rsidRDefault="002112D0" w:rsidP="00CE2D5C">
      <w:pPr>
        <w:jc w:val="center"/>
      </w:pPr>
      <w:r w:rsidRPr="0075584F">
        <w:rPr>
          <w:b/>
        </w:rPr>
        <w:t xml:space="preserve">Age-Based </w:t>
      </w:r>
      <w:r w:rsidR="008614B7">
        <w:rPr>
          <w:b/>
        </w:rPr>
        <w:t xml:space="preserve">Property </w:t>
      </w:r>
      <w:r w:rsidRPr="0075584F">
        <w:rPr>
          <w:b/>
        </w:rPr>
        <w:t>Tax Exemptions</w:t>
      </w:r>
    </w:p>
    <w:p w14:paraId="42F8E259" w14:textId="1232B8CF" w:rsidR="00CE2D5C" w:rsidRPr="0075584F" w:rsidRDefault="00CE2D5C" w:rsidP="00CE2D5C">
      <w:pPr>
        <w:jc w:val="center"/>
      </w:pPr>
      <w:r w:rsidRPr="0075584F">
        <w:t>H</w:t>
      </w:r>
      <w:r w:rsidR="00C10FA6">
        <w:t xml:space="preserve">.  </w:t>
      </w:r>
      <w:r w:rsidRPr="0075584F">
        <w:t>Spencer Banzhaf</w:t>
      </w:r>
      <w:r w:rsidRPr="0075584F">
        <w:br/>
        <w:t>Ryan Mickey</w:t>
      </w:r>
      <w:r w:rsidRPr="0075584F">
        <w:br/>
        <w:t>Carlianne Patrick</w:t>
      </w:r>
      <w:bookmarkStart w:id="0" w:name="_GoBack"/>
      <w:bookmarkEnd w:id="0"/>
    </w:p>
    <w:p w14:paraId="6110502A" w14:textId="26A4F7B7" w:rsidR="00477435" w:rsidRDefault="000B46D7" w:rsidP="00CE2D5C">
      <w:pPr>
        <w:jc w:val="center"/>
      </w:pPr>
      <w:r>
        <w:t>December</w:t>
      </w:r>
      <w:r w:rsidR="00C725B3">
        <w:t xml:space="preserve"> 2018</w:t>
      </w:r>
    </w:p>
    <w:p w14:paraId="5950537A" w14:textId="77777777" w:rsidR="006C213E" w:rsidRDefault="006C213E" w:rsidP="00CE2D5C">
      <w:pPr>
        <w:jc w:val="center"/>
      </w:pPr>
    </w:p>
    <w:p w14:paraId="0E6B6A42" w14:textId="057B7DAC" w:rsidR="00C168C9" w:rsidRPr="0075584F" w:rsidRDefault="005B0EB5" w:rsidP="00C168C9">
      <w:pPr>
        <w:spacing w:before="100" w:beforeAutospacing="1" w:after="100" w:afterAutospacing="1"/>
        <w:contextualSpacing/>
      </w:pPr>
      <w:r>
        <w:t>Abstract:</w:t>
      </w:r>
      <w:r w:rsidR="00C168C9">
        <w:t xml:space="preserve"> </w:t>
      </w:r>
      <w:r w:rsidR="008B0C2A">
        <w:t>M</w:t>
      </w:r>
      <w:r w:rsidR="00C168C9" w:rsidRPr="00C168C9">
        <w:t>any local jurisdictions offer property tax exemptions or similar concessions to older citizens</w:t>
      </w:r>
      <w:r w:rsidR="00C10FA6">
        <w:t xml:space="preserve">.  </w:t>
      </w:r>
      <w:r w:rsidR="00AF4249">
        <w:t xml:space="preserve">Such exemptions represent substantial intergenerational transfers and may have important implications for local public finances.  </w:t>
      </w:r>
      <w:r w:rsidR="00C168C9">
        <w:t>The consequences of age-based property tax exemptions depend upon the extent to which they influence households</w:t>
      </w:r>
      <w:r w:rsidR="005500B0">
        <w:t>'</w:t>
      </w:r>
      <w:r w:rsidR="00C168C9">
        <w:t xml:space="preserve"> location decisions, housing tenure decisions, and housing consumption</w:t>
      </w:r>
      <w:r w:rsidR="00C10FA6">
        <w:t xml:space="preserve">.  </w:t>
      </w:r>
      <w:r w:rsidR="00C168C9">
        <w:t>We provide the first evidence on (long-term) changes in household composition and housing consumption attributable to local, age-based property tax exemptions</w:t>
      </w:r>
      <w:r w:rsidR="00C10FA6">
        <w:t xml:space="preserve">.  </w:t>
      </w:r>
      <w:r w:rsidR="00C168C9">
        <w:t>We construct a unique database of local property tax exemptions in Georgia</w:t>
      </w:r>
      <w:r w:rsidR="008B0C2A">
        <w:t xml:space="preserve"> covering</w:t>
      </w:r>
      <w:r w:rsidR="00C168C9">
        <w:t xml:space="preserve"> 100 years of county, school district, and selected city property tax laws</w:t>
      </w:r>
      <w:r w:rsidR="00C10FA6">
        <w:t xml:space="preserve">.  </w:t>
      </w:r>
      <w:r w:rsidR="00C168C9">
        <w:t>We use these data to estimate the effect of age-based property tax exemptions on the number of older homeowners from 1970-2010 attributable to the exemption</w:t>
      </w:r>
      <w:r w:rsidR="00C10FA6">
        <w:t xml:space="preserve">.  </w:t>
      </w:r>
      <w:r w:rsidR="008B0C2A">
        <w:t>Using</w:t>
      </w:r>
      <w:r w:rsidR="00C168C9">
        <w:t xml:space="preserve"> a </w:t>
      </w:r>
      <w:r w:rsidR="005500B0">
        <w:t>"</w:t>
      </w:r>
      <w:r w:rsidR="00C168C9">
        <w:t>quadruple-difference</w:t>
      </w:r>
      <w:r w:rsidR="005500B0">
        <w:t>"</w:t>
      </w:r>
      <w:r w:rsidR="00C168C9">
        <w:t xml:space="preserve"> estimation strategy</w:t>
      </w:r>
      <w:r w:rsidR="008B0C2A">
        <w:t>, w</w:t>
      </w:r>
      <w:r w:rsidR="00C168C9">
        <w:t>e find a significant increase in older homeowners attributable to the combined effect of age-based property tax exemptions on location decisions and housing tenure</w:t>
      </w:r>
      <w:r w:rsidR="00C10FA6">
        <w:t xml:space="preserve">.  </w:t>
      </w:r>
      <w:r w:rsidR="00AF4249">
        <w:t xml:space="preserve">We also find </w:t>
      </w:r>
      <w:r w:rsidR="00C168C9">
        <w:t>evidence that age-based property tax exemptions increase housing consumption among older households</w:t>
      </w:r>
      <w:r w:rsidR="00AF4249">
        <w:t>.</w:t>
      </w:r>
      <w:r w:rsidR="008B0C2A">
        <w:t xml:space="preserve">  Finally, we estimate a sorting model to estimate the equilibrium effects of different tax policies.</w:t>
      </w:r>
    </w:p>
    <w:p w14:paraId="4A7D1979" w14:textId="77777777" w:rsidR="00C168C9" w:rsidRDefault="00C168C9" w:rsidP="005B0EB5"/>
    <w:p w14:paraId="6774612F" w14:textId="6D597B03" w:rsidR="005B0EB5" w:rsidRDefault="005B0EB5" w:rsidP="005B0EB5">
      <w:r>
        <w:t>Keywords:</w:t>
      </w:r>
      <w:r w:rsidR="00C168C9">
        <w:t xml:space="preserve"> property tax, </w:t>
      </w:r>
      <w:r w:rsidR="000B46D7">
        <w:t xml:space="preserve">elderly, </w:t>
      </w:r>
      <w:r w:rsidR="00C168C9">
        <w:t>sorting, migration, housing consumption</w:t>
      </w:r>
    </w:p>
    <w:p w14:paraId="6C84F3AF" w14:textId="31A57E13" w:rsidR="000B46D7" w:rsidRDefault="009974E4" w:rsidP="000B46D7">
      <w:pPr>
        <w:rPr>
          <w:b/>
          <w:smallCaps/>
          <w:sz w:val="28"/>
          <w:szCs w:val="28"/>
        </w:rPr>
        <w:sectPr w:rsidR="000B46D7" w:rsidSect="00477435">
          <w:footerReference w:type="default" r:id="rId8"/>
          <w:footnotePr>
            <w:numFmt w:val="chicago"/>
            <w:numRestart w:val="eachSect"/>
          </w:footnotePr>
          <w:type w:val="continuous"/>
          <w:pgSz w:w="12240" w:h="15840"/>
          <w:pgMar w:top="1440" w:right="1440" w:bottom="1440" w:left="1440" w:header="720" w:footer="720" w:gutter="0"/>
          <w:paperSrc w:first="1" w:other="1"/>
          <w:cols w:space="720"/>
          <w:docGrid w:linePitch="360"/>
        </w:sectPr>
      </w:pPr>
      <w:r>
        <w:t>JEL Codes: R2, H7, R5</w:t>
      </w:r>
    </w:p>
    <w:p w14:paraId="79557B70" w14:textId="77777777" w:rsidR="00EE6172" w:rsidRPr="00EE6172" w:rsidRDefault="00EE6172" w:rsidP="00EE6172">
      <w:pPr>
        <w:jc w:val="center"/>
        <w:rPr>
          <w:smallCaps/>
          <w:sz w:val="28"/>
          <w:szCs w:val="28"/>
        </w:rPr>
      </w:pPr>
      <w:r w:rsidRPr="00EE6172">
        <w:rPr>
          <w:b/>
          <w:smallCaps/>
          <w:sz w:val="28"/>
          <w:szCs w:val="28"/>
        </w:rPr>
        <w:lastRenderedPageBreak/>
        <w:t>Age-Based Property Tax Exemptions</w:t>
      </w:r>
    </w:p>
    <w:p w14:paraId="5F6D63A8" w14:textId="16A72BB4" w:rsidR="00EE6172" w:rsidRPr="0075584F" w:rsidRDefault="00EE6172" w:rsidP="00EE6172">
      <w:pPr>
        <w:jc w:val="center"/>
      </w:pPr>
      <w:r w:rsidRPr="0075584F">
        <w:t>H</w:t>
      </w:r>
      <w:r w:rsidR="00C10FA6">
        <w:t xml:space="preserve">.  </w:t>
      </w:r>
      <w:r w:rsidRPr="0075584F">
        <w:t>Spencer Banzhaf</w:t>
      </w:r>
      <w:r w:rsidRPr="00EE6172">
        <w:rPr>
          <w:rStyle w:val="FootnoteReference"/>
          <w:vertAlign w:val="baseline"/>
        </w:rPr>
        <w:t xml:space="preserve">, </w:t>
      </w:r>
      <w:r w:rsidRPr="0075584F">
        <w:t>Ryan Mickey</w:t>
      </w:r>
      <w:r w:rsidRPr="00EE6172">
        <w:rPr>
          <w:rStyle w:val="FootnoteReference"/>
          <w:vertAlign w:val="baseline"/>
        </w:rPr>
        <w:t xml:space="preserve">, </w:t>
      </w:r>
      <w:r>
        <w:t xml:space="preserve">and </w:t>
      </w:r>
      <w:r w:rsidRPr="0075584F">
        <w:t>Carlianne Patrick</w:t>
      </w:r>
    </w:p>
    <w:p w14:paraId="49E0414F" w14:textId="77777777" w:rsidR="00CE2D5C" w:rsidRPr="0075584F" w:rsidRDefault="00CE2D5C" w:rsidP="00CE2D5C">
      <w:pPr>
        <w:jc w:val="center"/>
      </w:pPr>
    </w:p>
    <w:p w14:paraId="3CB1A06D" w14:textId="31BF61CF" w:rsidR="00D71687" w:rsidRPr="000B46D7" w:rsidRDefault="00D71687" w:rsidP="000B46D7">
      <w:pPr>
        <w:pStyle w:val="OurHeading1"/>
        <w:widowControl w:val="0"/>
        <w:contextualSpacing w:val="0"/>
        <w:jc w:val="both"/>
      </w:pPr>
      <w:r w:rsidRPr="000B46D7">
        <w:t>Introduction</w:t>
      </w:r>
    </w:p>
    <w:p w14:paraId="5198EF5F" w14:textId="69B96FA3" w:rsidR="008C52FD" w:rsidRPr="000B46D7" w:rsidRDefault="00EE6172" w:rsidP="000B46D7">
      <w:pPr>
        <w:widowControl w:val="0"/>
        <w:spacing w:before="120" w:after="120" w:line="360" w:lineRule="auto"/>
        <w:jc w:val="both"/>
      </w:pPr>
      <w:r w:rsidRPr="000B46D7">
        <w:t>As t</w:t>
      </w:r>
      <w:r w:rsidR="00C67C5D" w:rsidRPr="000B46D7">
        <w:t>he largest single source of revenue for state and local governments in the United States</w:t>
      </w:r>
      <w:r w:rsidRPr="000B46D7">
        <w:t>, property taxes are</w:t>
      </w:r>
      <w:r w:rsidR="00C67C5D" w:rsidRPr="000B46D7">
        <w:t xml:space="preserve"> a primary funding mechanism for local public goods and services</w:t>
      </w:r>
      <w:r w:rsidR="00C10FA6" w:rsidRPr="000B46D7">
        <w:t xml:space="preserve">.  </w:t>
      </w:r>
      <w:r w:rsidR="00C67C5D" w:rsidRPr="000B46D7">
        <w:t>Yet</w:t>
      </w:r>
      <w:r w:rsidRPr="000B46D7">
        <w:t xml:space="preserve"> this tax base has eroded over time, as local governments enact </w:t>
      </w:r>
      <w:r w:rsidR="00484672" w:rsidRPr="000B46D7">
        <w:t>exemption</w:t>
      </w:r>
      <w:r w:rsidRPr="000B46D7">
        <w:t>s</w:t>
      </w:r>
      <w:r w:rsidR="00484672" w:rsidRPr="000B46D7">
        <w:t>, ab</w:t>
      </w:r>
      <w:r w:rsidR="00C67C5D" w:rsidRPr="000B46D7">
        <w:t xml:space="preserve">atements, and other concessions </w:t>
      </w:r>
      <w:r w:rsidR="00484672" w:rsidRPr="000B46D7">
        <w:t xml:space="preserve">(Augustine et </w:t>
      </w:r>
      <w:r w:rsidR="00584635" w:rsidRPr="000B46D7">
        <w:t xml:space="preserve">al. </w:t>
      </w:r>
      <w:r w:rsidR="00484672" w:rsidRPr="000B46D7">
        <w:t>2009)</w:t>
      </w:r>
      <w:r w:rsidR="00C10FA6" w:rsidRPr="000B46D7">
        <w:t xml:space="preserve">.  </w:t>
      </w:r>
      <w:r w:rsidR="00C67C5D" w:rsidRPr="000B46D7">
        <w:t>Age-based property tax exemptions are part of this trend</w:t>
      </w:r>
      <w:r w:rsidR="00C10FA6" w:rsidRPr="000B46D7">
        <w:t xml:space="preserve">.  </w:t>
      </w:r>
      <w:r w:rsidR="00C67C5D" w:rsidRPr="000B46D7">
        <w:t>Across the United States, many local jurisdictions offer property tax exemptions or similar concessions to olde</w:t>
      </w:r>
      <w:r w:rsidR="008C52FD" w:rsidRPr="000B46D7">
        <w:t>r citizens, especially from taxes supporting school districts</w:t>
      </w:r>
      <w:r w:rsidR="00C10FA6" w:rsidRPr="000B46D7">
        <w:t xml:space="preserve">.  </w:t>
      </w:r>
      <w:r w:rsidR="00C67C5D" w:rsidRPr="000B46D7">
        <w:t>Such exemptions first attract</w:t>
      </w:r>
      <w:r w:rsidR="008C52FD" w:rsidRPr="000B46D7">
        <w:t>ed</w:t>
      </w:r>
      <w:r w:rsidR="00C67C5D" w:rsidRPr="000B46D7">
        <w:t xml:space="preserve"> the </w:t>
      </w:r>
      <w:r w:rsidR="008C52FD" w:rsidRPr="000B46D7">
        <w:t>attention</w:t>
      </w:r>
      <w:r w:rsidR="00C67C5D" w:rsidRPr="000B46D7">
        <w:t xml:space="preserve"> of tax professionals</w:t>
      </w:r>
      <w:r w:rsidR="008C52FD" w:rsidRPr="000B46D7">
        <w:t xml:space="preserve"> some fifty years ago </w:t>
      </w:r>
      <w:r w:rsidR="00C67C5D" w:rsidRPr="000B46D7">
        <w:t>(e.g., Chen 1965)</w:t>
      </w:r>
      <w:r w:rsidR="008C52FD" w:rsidRPr="000B46D7">
        <w:t>, but they have become much more widespread in recent decades</w:t>
      </w:r>
      <w:r w:rsidR="00C10FA6" w:rsidRPr="000B46D7">
        <w:t xml:space="preserve">.  </w:t>
      </w:r>
      <w:r w:rsidR="008A3D0E" w:rsidRPr="000B46D7">
        <w:t>For example, in the state of Georgia, in 1970 only about 5% of the population lived in a local jurisdiction with some kind of age-based property tax exemption, whereas today it is more than 80% (though they vary in generosity and the population covered).</w:t>
      </w:r>
    </w:p>
    <w:p w14:paraId="0C57BEE9" w14:textId="2FD7F024" w:rsidR="0038606A" w:rsidRPr="000B46D7" w:rsidRDefault="00C67C5D" w:rsidP="000B46D7">
      <w:pPr>
        <w:widowControl w:val="0"/>
        <w:spacing w:before="120" w:after="120" w:line="360" w:lineRule="auto"/>
        <w:ind w:firstLine="720"/>
        <w:jc w:val="both"/>
      </w:pPr>
      <w:r w:rsidRPr="000B46D7">
        <w:t xml:space="preserve">Such exemptions </w:t>
      </w:r>
      <w:r w:rsidR="008A3D0E" w:rsidRPr="000B46D7">
        <w:t>are</w:t>
      </w:r>
      <w:r w:rsidRPr="000B46D7">
        <w:t xml:space="preserve"> controversi</w:t>
      </w:r>
      <w:r w:rsidR="00584635" w:rsidRPr="000B46D7">
        <w:t>al.</w:t>
      </w:r>
      <w:r w:rsidR="000B46D7">
        <w:t xml:space="preserve"> </w:t>
      </w:r>
      <w:r w:rsidR="00584635" w:rsidRPr="000B46D7">
        <w:t xml:space="preserve"> </w:t>
      </w:r>
      <w:r w:rsidRPr="000B46D7">
        <w:t xml:space="preserve">For example, in </w:t>
      </w:r>
      <w:r w:rsidR="008C52FD" w:rsidRPr="000B46D7">
        <w:t xml:space="preserve">suburban Atlanta, </w:t>
      </w:r>
      <w:r w:rsidRPr="000B46D7">
        <w:t xml:space="preserve">Cobb County has made headlines </w:t>
      </w:r>
      <w:r w:rsidR="008C52FD" w:rsidRPr="000B46D7">
        <w:t xml:space="preserve">in recent years </w:t>
      </w:r>
      <w:r w:rsidRPr="000B46D7">
        <w:t>for its generous exemption from the education property tax for seniors at a time when schools</w:t>
      </w:r>
      <w:r w:rsidR="005500B0" w:rsidRPr="000B46D7">
        <w:t>'</w:t>
      </w:r>
      <w:r w:rsidRPr="000B46D7">
        <w:t xml:space="preserve"> budgets have been severely squeezed</w:t>
      </w:r>
      <w:r w:rsidR="008C52FD" w:rsidRPr="000B46D7">
        <w:t xml:space="preserve"> (Davis 2010, Downey 2013)</w:t>
      </w:r>
      <w:r w:rsidR="00C10FA6" w:rsidRPr="000B46D7">
        <w:t xml:space="preserve">.  </w:t>
      </w:r>
      <w:r w:rsidRPr="000B46D7">
        <w:t xml:space="preserve">Defenders of </w:t>
      </w:r>
      <w:r w:rsidR="00C10FA6" w:rsidRPr="000B46D7">
        <w:t>age-based exemptions</w:t>
      </w:r>
      <w:r w:rsidRPr="000B46D7">
        <w:t xml:space="preserve"> argue that housing makes up a larger share of the budget for older households, that many older households paid into the community for many years, and that most presently do not have children in the schools</w:t>
      </w:r>
      <w:r w:rsidR="00C10FA6" w:rsidRPr="000B46D7">
        <w:t xml:space="preserve">.  </w:t>
      </w:r>
      <w:r w:rsidR="00002041" w:rsidRPr="000B46D7">
        <w:t>From this perspective</w:t>
      </w:r>
      <w:r w:rsidR="00C10FA6" w:rsidRPr="000B46D7">
        <w:t xml:space="preserve">, exemptions effectively reduce the public service subsidies from older households (Shan 2010, Gallagher et al. 2017).  </w:t>
      </w:r>
      <w:r w:rsidRPr="000B46D7">
        <w:t>A</w:t>
      </w:r>
      <w:r w:rsidR="00002041" w:rsidRPr="000B46D7">
        <w:t>dditionally, a</w:t>
      </w:r>
      <w:r w:rsidRPr="000B46D7">
        <w:t xml:space="preserve">ge-based exemptions may </w:t>
      </w:r>
      <w:r w:rsidR="00C10FA6" w:rsidRPr="000B46D7">
        <w:t>help</w:t>
      </w:r>
      <w:r w:rsidRPr="000B46D7">
        <w:t xml:space="preserve"> older residents remain in their homes and preventing unwanted moves by owners that value their homes more than the marginal homebuyer (Shan 2010)</w:t>
      </w:r>
      <w:r w:rsidR="00C10FA6" w:rsidRPr="000B46D7">
        <w:t xml:space="preserve">.  </w:t>
      </w:r>
      <w:r w:rsidRPr="000B46D7">
        <w:t xml:space="preserve">Critics point out that, on the other hand, most older households do not have mortgages, that they benefit from the increased housing values associated with strong schools and other public services, </w:t>
      </w:r>
      <w:r w:rsidR="000B46D7" w:rsidRPr="000B46D7">
        <w:t>that other households with no children in the schools are not exempted</w:t>
      </w:r>
      <w:r w:rsidR="000B46D7">
        <w:t xml:space="preserve">, and </w:t>
      </w:r>
      <w:r w:rsidR="00002041" w:rsidRPr="000B46D7">
        <w:t xml:space="preserve">that </w:t>
      </w:r>
      <w:r w:rsidR="000B46D7">
        <w:t>today's seniors</w:t>
      </w:r>
      <w:r w:rsidR="00002041" w:rsidRPr="000B46D7">
        <w:t xml:space="preserve"> benefited when they were younger from receiving the payments of the previous generation of older households</w:t>
      </w:r>
      <w:r w:rsidR="00C10FA6" w:rsidRPr="000B46D7">
        <w:t>.</w:t>
      </w:r>
    </w:p>
    <w:p w14:paraId="28D36E57" w14:textId="58DC2AA6" w:rsidR="00797A24" w:rsidRPr="000B46D7" w:rsidRDefault="00EA1BF3" w:rsidP="000B46D7">
      <w:pPr>
        <w:pStyle w:val="Ourbodytext"/>
        <w:widowControl w:val="0"/>
        <w:jc w:val="both"/>
      </w:pPr>
      <w:r>
        <w:lastRenderedPageBreak/>
        <w:t>In addition to their direct effect on the tax base, a</w:t>
      </w:r>
      <w:r w:rsidR="00797A24" w:rsidRPr="000B46D7">
        <w:t xml:space="preserve">ge-based property tax exemptions </w:t>
      </w:r>
      <w:r w:rsidRPr="000B46D7">
        <w:t xml:space="preserve">may </w:t>
      </w:r>
      <w:r w:rsidR="00797A24" w:rsidRPr="000B46D7">
        <w:t xml:space="preserve">also have unintended consequences in the form of changes in jurisdictional household composition and changes in housing values.  These changes could, in turn, have a "dynamic scoring" effect on local public finances.  That is, the effect of senior discounts on local public finances may be different in the long run if the discounts increase the share of older homeowners.  Recently, </w:t>
      </w:r>
      <w:r w:rsidR="00AF4249" w:rsidRPr="000B46D7">
        <w:t>Gallagher et al. (2017) examined</w:t>
      </w:r>
      <w:r w:rsidR="00797A24" w:rsidRPr="000B46D7">
        <w:t xml:space="preserve"> the effect on local school finances of an exogenous increase in the population of older households.  They consider two effects, the tax base effect, which represents the transfer of resources from households without school-age children, and the tax rate effect, as the political process generates lower tax rates (for all households) in jurisdictions with more older households.  They find the former effect dominates.  However, they do not consider the effect of age-targeted tax exemptions, which essentially represent a way to reduce the tax base effect.</w:t>
      </w:r>
    </w:p>
    <w:p w14:paraId="7CFDA37D" w14:textId="2284A65D" w:rsidR="00DD4856" w:rsidRPr="000B46D7" w:rsidRDefault="00DD4856" w:rsidP="000B46D7">
      <w:pPr>
        <w:pStyle w:val="Ourbodytext"/>
        <w:widowControl w:val="0"/>
        <w:jc w:val="both"/>
      </w:pPr>
      <w:r w:rsidRPr="000B46D7">
        <w:t xml:space="preserve">The decrease in the cost of homeownership in a particular location </w:t>
      </w:r>
      <w:r w:rsidR="003F3F38" w:rsidRPr="000B46D7">
        <w:t xml:space="preserve">granted </w:t>
      </w:r>
      <w:r w:rsidRPr="000B46D7">
        <w:t xml:space="preserve">by age-based property tax exemptions potentially influences eligible households through three channels.  First, age-based exemptions could affect the location decision of older homeowners, as they have an incentive to move to areas with more generous exemptions (or refrain from moving away). </w:t>
      </w:r>
      <w:r w:rsidR="005C37E5">
        <w:t xml:space="preserve"> </w:t>
      </w:r>
      <w:r w:rsidRPr="000B46D7">
        <w:t xml:space="preserve">Second, </w:t>
      </w:r>
      <w:r w:rsidR="003F3F38" w:rsidRPr="000B46D7">
        <w:t>such exemptions</w:t>
      </w:r>
      <w:r w:rsidRPr="000B46D7">
        <w:t xml:space="preserve"> similarly could affect the tenure decision of older homeowners, as they have more incentive to own their property than to rent</w:t>
      </w:r>
      <w:r w:rsidR="005C37E5">
        <w:t>.</w:t>
      </w:r>
      <w:r w:rsidRPr="000B46D7">
        <w:t xml:space="preserve">  Third, at the intensive margin, the tax subsidies could induce older homeowners to consume more housing, much like the mortgage income tax deduction (Hanson 2012).  Tiebout sorting and migration studies provide mixed evidence regarding the effect of taxes and public goods on the location decisions of older households, but there is substantial evidence that households generally move in response to changes along these dimensions.  There is less evidence on the potential for age-based exemption-induced increases on the extensive margin in the number of households owning a home and on the intensive margin in the size of the house,</w:t>
      </w:r>
      <w:r w:rsidR="005C37E5">
        <w:t xml:space="preserve"> or amount of housing capital.</w:t>
      </w:r>
    </w:p>
    <w:p w14:paraId="4D0630D4" w14:textId="023C86CD" w:rsidR="00797A24" w:rsidRPr="000B46D7" w:rsidRDefault="00D2785B" w:rsidP="000B46D7">
      <w:pPr>
        <w:widowControl w:val="0"/>
        <w:spacing w:before="120" w:after="120" w:line="360" w:lineRule="auto"/>
        <w:ind w:firstLine="720"/>
        <w:jc w:val="both"/>
      </w:pPr>
      <w:r w:rsidRPr="000B46D7">
        <w:t xml:space="preserve">Relatively little is known about the extent to which older households' location decisions, housing tenure decisions, and housing consumption decisions respond to changes in </w:t>
      </w:r>
      <w:r w:rsidRPr="000B46D7">
        <w:rPr>
          <w:i/>
        </w:rPr>
        <w:t>local</w:t>
      </w:r>
      <w:r w:rsidRPr="000B46D7">
        <w:t xml:space="preserve"> property taxes.  </w:t>
      </w:r>
      <w:r w:rsidR="00797A24" w:rsidRPr="000B46D7">
        <w:t>Indeed, we could find no evidence of existing research that considers the tenure decision and very littl</w:t>
      </w:r>
      <w:r w:rsidR="00AF4249" w:rsidRPr="000B46D7">
        <w:t>e on the consumption decision.</w:t>
      </w:r>
    </w:p>
    <w:p w14:paraId="2FB5AB46" w14:textId="018C226A" w:rsidR="00584635" w:rsidRPr="000B46D7" w:rsidRDefault="00590B84" w:rsidP="000B46D7">
      <w:pPr>
        <w:widowControl w:val="0"/>
        <w:spacing w:before="120" w:after="120" w:line="360" w:lineRule="auto"/>
        <w:ind w:firstLine="720"/>
        <w:jc w:val="both"/>
      </w:pPr>
      <w:r w:rsidRPr="000B46D7">
        <w:t>Most of the attention has been on location decisions.  However, t</w:t>
      </w:r>
      <w:r w:rsidR="00584635" w:rsidRPr="000B46D7">
        <w:t xml:space="preserve">he existing sorting and migration studies of older households focus on </w:t>
      </w:r>
      <w:r w:rsidR="00D2785B" w:rsidRPr="000B46D7">
        <w:t xml:space="preserve">between-state migration in response to </w:t>
      </w:r>
      <w:r w:rsidR="00584635" w:rsidRPr="000B46D7">
        <w:t xml:space="preserve">state-level </w:t>
      </w:r>
      <w:r w:rsidR="00584635" w:rsidRPr="000B46D7">
        <w:lastRenderedPageBreak/>
        <w:t xml:space="preserve">differences in taxes and public goods.  Conway and Rork </w:t>
      </w:r>
      <w:r w:rsidR="00BF5805" w:rsidRPr="000B46D7">
        <w:t xml:space="preserve">(2006) </w:t>
      </w:r>
      <w:r w:rsidR="00584635" w:rsidRPr="000B46D7">
        <w:t>examine interstate migration of older households and find little effect of state taxes on estates, inheritances, and gifts</w:t>
      </w:r>
      <w:r w:rsidR="00BF5805" w:rsidRPr="000B46D7">
        <w:t>.  Similarly,</w:t>
      </w:r>
      <w:r w:rsidR="00584635" w:rsidRPr="000B46D7">
        <w:t xml:space="preserve"> Conway and Rork </w:t>
      </w:r>
      <w:r w:rsidR="00BF5805" w:rsidRPr="000B46D7">
        <w:t>(2012</w:t>
      </w:r>
      <w:r w:rsidR="00584635" w:rsidRPr="000B46D7">
        <w:t xml:space="preserve">) </w:t>
      </w:r>
      <w:r w:rsidR="00BF5805" w:rsidRPr="000B46D7">
        <w:t xml:space="preserve">find little effect of </w:t>
      </w:r>
      <w:r w:rsidR="00584635" w:rsidRPr="000B46D7">
        <w:t xml:space="preserve">age-based income tax breaks.  On the other hand, Onder and Schlunk </w:t>
      </w:r>
      <w:r w:rsidR="00584635" w:rsidRPr="000B46D7">
        <w:fldChar w:fldCharType="begin"/>
      </w:r>
      <w:r w:rsidR="00584635" w:rsidRPr="000B46D7">
        <w:instrText xml:space="preserve"> ADDIN ZOTERO_ITEM CSL_CITATION {"citationID":"jATJDc1j","properties":{"formattedCitation":"(2010)","plainCitation":"(2010)"},"citationItems":[{"id":174,"uris":["http://zotero.org/users/1003284/items/D3CKJUBX"],"uri":["http://zotero.org/users/1003284/items/D3CKJUBX"],"itemData":{"id":174,"type":"article-journal","title":"State Taxes, Tax Exemptions and Elderly Migration","container-title":"Working Paper","abstract":"We use the U.S. elderly migration data for 1995-2000 to test how taxes and specific tax exemptions affect migration decisions of the elderly population. We show that the elderly prefer to migrate to states with low inheritance and estate tax, high property tax, low price level, low amount of Federal revenue transfers, high level of local amenities, and high temperatures. In addition, exemption of prescription drugs from sales tax and the existence of pension exemptions affect elderly in-migration positively and significantly.","author":[{"family":"Onder","given":"Ali Sina"},{"family":"Schlunk","given":"Herwig J."}],"issued":{"date-parts":[["2010"]]}},"suppress-author":true}],"schema":"https://github.com/citation-style-language/schema/raw/master/csl-citation.json"} </w:instrText>
      </w:r>
      <w:r w:rsidR="00584635" w:rsidRPr="000B46D7">
        <w:fldChar w:fldCharType="separate"/>
      </w:r>
      <w:r w:rsidR="00584635" w:rsidRPr="000B46D7">
        <w:t>(2010)</w:t>
      </w:r>
      <w:r w:rsidR="00584635" w:rsidRPr="000B46D7">
        <w:fldChar w:fldCharType="end"/>
      </w:r>
      <w:r w:rsidR="00584635" w:rsidRPr="000B46D7">
        <w:t xml:space="preserve"> find that older households are more likely to move to states that provide sales tax exemptions on items more frequently purchased by older households than young households</w:t>
      </w:r>
      <w:r w:rsidR="00BF5805" w:rsidRPr="000B46D7">
        <w:t>.</w:t>
      </w:r>
      <w:r w:rsidRPr="000B46D7">
        <w:t xml:space="preserve">  Gale and Heath </w:t>
      </w:r>
      <w:r w:rsidRPr="000B46D7">
        <w:fldChar w:fldCharType="begin"/>
      </w:r>
      <w:r w:rsidRPr="000B46D7">
        <w:instrText xml:space="preserve"> ADDIN ZOTERO_ITEM CSL_CITATION {"citationID":"KFqQXqqY","properties":{"formattedCitation":"(2000)","plainCitation":"(2000)"},"citationItems":[{"id":98,"uris":["http://zotero.org/users/1003284/items/89UDBFKT"],"uri":["http://zotero.org/users/1003284/items/89UDBFKT"],"itemData":{"id":98,"type":"article-journal","title":"Elderly Internal Migration in the United States Revisited","container-title":"Public Finance Review","page":"153-170","volume":"28","issue":"2","source":"pfr.sagepub.com","abstract":"This article explores determinants of elderly migration in the United States by extending the more formal model developed by Conway and Houtenville (1998) instead of the more traditional “investment” model. The approach is twofold. In the authors' model, they clarify the publicly provided goods that generate utility for the elderly while recognizing that the tax burden of the elderly is for all publicly provided goods supplied by each state. They also include the effects of growth rates in economic and policy variables during the migration period, which allows them to measure the endogeneity of elderly net in-migration and state expenditure policy. This approach generates intriguing results. In addition to the significance of standard amenity variables, the authors find that state per capita income and the real growth rate of state per capita income have a significant and positive effect on elderly net in-migration. They also find significant effects of overall tax burden variables. Surprisingly, when state elderly net in-migration and state fiscal policy are modeled endogenously, there is little evidence of any general effect of state expenditures on elderly migration.","DOI":"10.1177/109114210002800204","ISSN":"1091-1421, 1552-7530","journalAbbreviation":"Public Finance Review","language":"en","author":[{"family":"Gale","given":"Lewis R."},{"family":"Heath","given":"Will Carrington"}],"issued":{"date-parts":[["2000",3,1]]}},"suppress-author":true}],"schema":"https://github.com/citation-style-language/schema/raw/master/csl-citation.json"} </w:instrText>
      </w:r>
      <w:r w:rsidRPr="000B46D7">
        <w:fldChar w:fldCharType="separate"/>
      </w:r>
      <w:r w:rsidRPr="000B46D7">
        <w:t>(2000)</w:t>
      </w:r>
      <w:r w:rsidRPr="000B46D7">
        <w:fldChar w:fldCharType="end"/>
      </w:r>
      <w:r w:rsidRPr="000B46D7">
        <w:t xml:space="preserve"> explicitly model the endogeneity of elderly migration and state fiscal policy in their analysis and find that states with higher average property taxes have less net in-migration.</w:t>
      </w:r>
    </w:p>
    <w:p w14:paraId="677860C3" w14:textId="5754C50D" w:rsidR="00584635" w:rsidRPr="000B46D7" w:rsidRDefault="00797A24" w:rsidP="000B46D7">
      <w:pPr>
        <w:widowControl w:val="0"/>
        <w:spacing w:before="120" w:after="120" w:line="360" w:lineRule="auto"/>
        <w:ind w:firstLine="720"/>
        <w:jc w:val="both"/>
      </w:pPr>
      <w:r w:rsidRPr="000B46D7">
        <w:t xml:space="preserve">Several papers have used </w:t>
      </w:r>
      <w:r w:rsidR="00590B84" w:rsidRPr="000B46D7">
        <w:t>Health and Retirement Survey</w:t>
      </w:r>
      <w:r w:rsidR="00584635" w:rsidRPr="000B46D7">
        <w:t xml:space="preserve"> </w:t>
      </w:r>
      <w:r w:rsidR="00590B84" w:rsidRPr="000B46D7">
        <w:t xml:space="preserve">(HRS) </w:t>
      </w:r>
      <w:r w:rsidR="00584635" w:rsidRPr="000B46D7">
        <w:t>data</w:t>
      </w:r>
      <w:r w:rsidR="007815AC" w:rsidRPr="000B46D7">
        <w:t xml:space="preserve"> on self-reported property tax payments</w:t>
      </w:r>
      <w:r w:rsidR="00584635" w:rsidRPr="000B46D7">
        <w:t xml:space="preserve"> </w:t>
      </w:r>
      <w:r w:rsidRPr="000B46D7">
        <w:t xml:space="preserve">when considering migration decisions.  </w:t>
      </w:r>
      <w:r w:rsidR="00584635" w:rsidRPr="000B46D7">
        <w:t xml:space="preserve">Seslen </w:t>
      </w:r>
      <w:r w:rsidR="00584635" w:rsidRPr="000B46D7">
        <w:fldChar w:fldCharType="begin"/>
      </w:r>
      <w:r w:rsidR="00584635" w:rsidRPr="000B46D7">
        <w:instrText xml:space="preserve"> ADDIN ZOTERO_ITEM CSL_CITATION {"citationID":"IQ9tdQ19","properties":{"formattedCitation":"(2005)","plainCitation":"(2005)"},"citationItems":[{"id":2569,"uris":["http://zotero.org/users/1003284/items/2T4KTZHK"],"uri":["http://zotero.org/users/1003284/items/2T4KTZHK"],"itemData":{"id":2569,"type":"article-journal","title":"Property tax abatement programs: does relief really keep grandma in her home","container-title":"MIT dissertation","source":"Google Scholar","shortTitle":"Property tax abatement programs","author":[{"family":"Seslen","given":"Tracey"}],"issued":{"date-parts":[["2005"]]}},"suppress-author":true}],"schema":"https://github.com/citation-style-language/schema/raw/master/csl-citation.json"} </w:instrText>
      </w:r>
      <w:r w:rsidR="00584635" w:rsidRPr="000B46D7">
        <w:fldChar w:fldCharType="separate"/>
      </w:r>
      <w:r w:rsidR="00584635" w:rsidRPr="000B46D7">
        <w:t>(2005)</w:t>
      </w:r>
      <w:r w:rsidR="00584635" w:rsidRPr="000B46D7">
        <w:fldChar w:fldCharType="end"/>
      </w:r>
      <w:r w:rsidR="00584635" w:rsidRPr="000B46D7">
        <w:t xml:space="preserve"> examines the effect of property taxes on the decision of older households to downsize</w:t>
      </w:r>
      <w:r w:rsidR="00590B84" w:rsidRPr="000B46D7">
        <w:t xml:space="preserve"> </w:t>
      </w:r>
      <w:r w:rsidR="00584635" w:rsidRPr="000B46D7">
        <w:t xml:space="preserve">and finds little evidence that property taxes influence the decision to move or liquidate their housing.  </w:t>
      </w:r>
      <w:r w:rsidRPr="000B46D7">
        <w:t xml:space="preserve">Farnham and Sevak </w:t>
      </w:r>
      <w:r w:rsidRPr="000B46D7">
        <w:fldChar w:fldCharType="begin"/>
      </w:r>
      <w:r w:rsidRPr="000B46D7">
        <w:instrText xml:space="preserve"> ADDIN ZOTERO_ITEM CSL_CITATION {"citationID":"TYhUFuaZ","properties":{"formattedCitation":"(2006)","plainCitation":"(2006)"},"citationItems":[{"id":378,"uris":["http://zotero.org/users/1003284/items/RKTH5RIS"],"uri":["http://zotero.org/users/1003284/items/RKTH5RIS"],"itemData":{"id":378,"type":"article-journal","title":"State fiscal institutions and empty-nest migration: Are Tiebout voters hobbled?","container-title":"Journal of Public Economics","page":"407-427","volume":"90","issue":"3","source":"ScienceDirect","abstract":"Using the Health and Retirement Study and a national panel of local fiscal data, we test a lifecycle model of Tiebout sorting. On average, cross-state, empty-nest movers—presumed to be out of fiscal equilibrium—experience large fiscal gains in the form of reduced exposure to local school spending and property taxes, while local empty-nest movers experience no fiscal adjustment. We find evidence that within-state fiscal adjustment is constrained by state institutions that limit local discretion. Empty-nest households moving within states with school finance equalization do not engage in Tiebout-consistent fiscal adjustment, while those moving within states lacking school finance equalization adjust substantially.","DOI":"10.1016/j.jpubeco.2005.07.005","ISSN":"0047-2727","shortTitle":"State fiscal institutions and empty-nest migration","journalAbbreviation":"Journal of Public Economics","author":[{"family":"Farnham","given":"Martin"},{"family":"Sevak","given":"Purvi"}],"issued":{"date-parts":[["2006",2]]}},"suppress-author":true}],"schema":"https://github.com/citation-style-language/schema/raw/master/csl-citation.json"} </w:instrText>
      </w:r>
      <w:r w:rsidRPr="000B46D7">
        <w:fldChar w:fldCharType="separate"/>
      </w:r>
      <w:r w:rsidRPr="000B46D7">
        <w:t>(2006)</w:t>
      </w:r>
      <w:r w:rsidRPr="000B46D7">
        <w:fldChar w:fldCharType="end"/>
      </w:r>
      <w:r w:rsidRPr="000B46D7">
        <w:t xml:space="preserve"> find that recent empty-nesters reduced their exposure to property taxes when moving across state lines, but not when moving within states, suggesting that households may consider this factor when making a move.  </w:t>
      </w:r>
      <w:r w:rsidR="007815AC" w:rsidRPr="000B46D7">
        <w:t xml:space="preserve">Shan </w:t>
      </w:r>
      <w:r w:rsidR="007815AC" w:rsidRPr="000B46D7">
        <w:fldChar w:fldCharType="begin"/>
      </w:r>
      <w:r w:rsidR="007815AC" w:rsidRPr="000B46D7">
        <w:instrText xml:space="preserve"> ADDIN ZOTERO_ITEM CSL_CITATION {"citationID":"OMaXc4Ae","properties":{"formattedCitation":"(2010)","plainCitation":"(2010)"},"citationItems":[{"id":2220,"uris":["http://zotero.org/users/1003284/items/H6NQ8GWB"],"uri":["http://zotero.org/users/1003284/items/H6NQ8GWB"],"itemData":{"id":2220,"type":"article-journal","title":"Property taxes and elderly mobility","container-title":"Journal of Urban Economics","page":"194-205","volume":"67","issue":"2","source":"ScienceDirect","abstract":"The 2000–2005 housing market boom in the U.S. has caused sharp increases in residential property taxes. Housing-rich but income-poor elderly homeowners often complain about rising tax burdens, and anecdotal evidence suggests that some move to reduce their tax burden. There has been little systematic analysis, however, of the link between property tax levels and the mobility rate of elderly homeowners. This paper investigates this link using household-level panel data from the Health and Retirement Study (HRS) and a newly collected data set on state-provided property tax relief programs. These relief programs generate variation in effective property tax burdens that is not due solely to arguably endogenous local community choices about taxes and expenditure programs. The findings provide evidence suggesting that higher property taxes raise mobility among elderly homeowners. The point estimates from instrumental variable estimation using relief programs to generate instruments suggest that a $100 increase in annual property taxes is associated with a 0.73 percentage point increase in the 2-year mobility rate for homeowners over the age of 50. This is an 8 percent increase from the baseline 2-year mobility rate of 9 percent. These results are robust to alternative specifications.","DOI":"10.1016/j.jue.2009.08.004","ISSN":"0094-1190","journalAbbreviation":"Journal of Urban Economics","author":[{"family":"Shan","given":"Hui"}],"issued":{"date-parts":[["2010",3]]}},"suppress-author":true}],"schema":"https://github.com/citation-style-language/schema/raw/master/csl-citation.json"} </w:instrText>
      </w:r>
      <w:r w:rsidR="007815AC" w:rsidRPr="000B46D7">
        <w:fldChar w:fldCharType="separate"/>
      </w:r>
      <w:r w:rsidR="007815AC" w:rsidRPr="000B46D7">
        <w:t>(2010)</w:t>
      </w:r>
      <w:r w:rsidR="007815AC" w:rsidRPr="000B46D7">
        <w:fldChar w:fldCharType="end"/>
      </w:r>
      <w:r w:rsidR="007815AC" w:rsidRPr="000B46D7">
        <w:t xml:space="preserve"> uses more recent data from the HRS and instruments for property tax payments with variation in state-provided property tax relief programs.  She finds that higher property taxes do increase the housing mobility of older households, causing them to downsize or move to states with lower property taxes, with state-provided property tax relief programs diminishing that mobility.  Whether similar policies at the local level would specifically attract older households is an open question.</w:t>
      </w:r>
    </w:p>
    <w:p w14:paraId="055BD463" w14:textId="77777777" w:rsidR="00732E0E" w:rsidRDefault="00797A24" w:rsidP="000B46D7">
      <w:pPr>
        <w:widowControl w:val="0"/>
        <w:spacing w:before="120" w:after="120" w:line="360" w:lineRule="auto"/>
        <w:ind w:firstLine="720"/>
        <w:jc w:val="both"/>
      </w:pPr>
      <w:r w:rsidRPr="000B46D7">
        <w:t xml:space="preserve">To our knowledge, we are the first to provide evidence on the effect of local age-based property tax laws on local changes in household types through the location and tenure decisions of older households as well as the effect on housing consumption.  </w:t>
      </w:r>
      <w:r w:rsidR="00535415" w:rsidRPr="000B46D7">
        <w:t>To do so, we construct a unique database of local property tax exemptions in Georgia</w:t>
      </w:r>
      <w:r w:rsidR="00C10FA6" w:rsidRPr="000B46D7">
        <w:t xml:space="preserve">.  </w:t>
      </w:r>
      <w:r w:rsidR="00535415" w:rsidRPr="000B46D7">
        <w:t>Our local exemption data cover 100 years of county, school district, and selected city property tax laws</w:t>
      </w:r>
      <w:r w:rsidR="00C10FA6" w:rsidRPr="000B46D7">
        <w:t xml:space="preserve">.  </w:t>
      </w:r>
      <w:r w:rsidR="00535415" w:rsidRPr="000B46D7">
        <w:t xml:space="preserve">We use these data </w:t>
      </w:r>
      <w:r w:rsidR="009D3241" w:rsidRPr="000B46D7">
        <w:t xml:space="preserve">to estimate the effect of age-based property tax exemptions on </w:t>
      </w:r>
      <w:r w:rsidR="00B219A9" w:rsidRPr="000B46D7">
        <w:t xml:space="preserve">the (absolute or percentage) change in the number of older homeowners </w:t>
      </w:r>
      <w:r w:rsidR="001B453A" w:rsidRPr="000B46D7">
        <w:t xml:space="preserve">from 1970-2010 that is </w:t>
      </w:r>
      <w:r w:rsidR="00B219A9" w:rsidRPr="000B46D7">
        <w:t>attributable to the exemption</w:t>
      </w:r>
      <w:r w:rsidR="00C10FA6" w:rsidRPr="000B46D7">
        <w:t xml:space="preserve">.  </w:t>
      </w:r>
    </w:p>
    <w:p w14:paraId="13F9B362" w14:textId="3AF7DA29" w:rsidR="00732E0E" w:rsidRPr="000D3913" w:rsidRDefault="00B219A9" w:rsidP="000B46D7">
      <w:pPr>
        <w:widowControl w:val="0"/>
        <w:spacing w:before="120" w:after="120" w:line="360" w:lineRule="auto"/>
        <w:ind w:firstLine="720"/>
        <w:jc w:val="both"/>
      </w:pPr>
      <w:r w:rsidRPr="000D3913">
        <w:t xml:space="preserve">We use a </w:t>
      </w:r>
      <w:r w:rsidR="005500B0" w:rsidRPr="000D3913">
        <w:t>"</w:t>
      </w:r>
      <w:r w:rsidRPr="000D3913">
        <w:t>quadruple-difference</w:t>
      </w:r>
      <w:r w:rsidR="005500B0" w:rsidRPr="000D3913">
        <w:t>"</w:t>
      </w:r>
      <w:r w:rsidRPr="000D3913">
        <w:t xml:space="preserve"> estimation strategy that uses counterfactual information from jurisdictions without exemptions as well as young owners and older renters in the treated counties to identify the effect</w:t>
      </w:r>
      <w:r w:rsidR="00732E0E" w:rsidRPr="000D3913">
        <w:t xml:space="preserve"> on older renters</w:t>
      </w:r>
      <w:r w:rsidR="00C10FA6" w:rsidRPr="000D3913">
        <w:t xml:space="preserve">.  </w:t>
      </w:r>
      <w:r w:rsidR="00732E0E" w:rsidRPr="000D3913">
        <w:t xml:space="preserve">Essentially, we estimate difference-in-differences, </w:t>
      </w:r>
      <w:r w:rsidR="00732E0E" w:rsidRPr="000D3913">
        <w:lastRenderedPageBreak/>
        <w:t>looking at changes in the demographics of counties that adopt age-based property taxes relative to changes in counties that didn't</w:t>
      </w:r>
      <w:r w:rsidR="000D3913" w:rsidRPr="000D3913">
        <w:t xml:space="preserve">. </w:t>
      </w:r>
      <w:r w:rsidR="00732E0E" w:rsidRPr="000D3913">
        <w:t xml:space="preserve"> </w:t>
      </w:r>
      <w:r w:rsidR="000D3913" w:rsidRPr="000D3913">
        <w:t>H</w:t>
      </w:r>
      <w:r w:rsidR="00732E0E" w:rsidRPr="000D3913">
        <w:t xml:space="preserve">owever, </w:t>
      </w:r>
      <w:r w:rsidR="000D3913" w:rsidRPr="000D3913">
        <w:t xml:space="preserve">relative to a standard difference-in-differences model, </w:t>
      </w:r>
      <w:r w:rsidR="00732E0E" w:rsidRPr="000D3913">
        <w:t>we allow the residuals to be correlated with differential trends in renters and younger owners</w:t>
      </w:r>
      <w:r w:rsidR="000D3913" w:rsidRPr="000D3913">
        <w:t>, identifying the effect off of older owners relative to these other groups.</w:t>
      </w:r>
    </w:p>
    <w:p w14:paraId="1971B669" w14:textId="58BE8645" w:rsidR="00535415" w:rsidRPr="007B7120" w:rsidRDefault="000D3913" w:rsidP="000B46D7">
      <w:pPr>
        <w:widowControl w:val="0"/>
        <w:spacing w:before="120" w:after="120" w:line="360" w:lineRule="auto"/>
        <w:ind w:firstLine="720"/>
        <w:jc w:val="both"/>
        <w:rPr>
          <w:highlight w:val="yellow"/>
        </w:rPr>
      </w:pPr>
      <w:r w:rsidRPr="000D3913">
        <w:t>In addition, w</w:t>
      </w:r>
      <w:r w:rsidR="00B219A9" w:rsidRPr="000D3913">
        <w:t>e estimate the change in counties</w:t>
      </w:r>
      <w:r w:rsidR="005500B0" w:rsidRPr="000D3913">
        <w:t>'</w:t>
      </w:r>
      <w:r w:rsidR="00B219A9" w:rsidRPr="000D3913">
        <w:t xml:space="preserve"> mean housing values using a triple-difference strategy.</w:t>
      </w:r>
      <w:r w:rsidR="00AD122D" w:rsidRPr="000D3913">
        <w:t xml:space="preserve"> </w:t>
      </w:r>
      <w:r w:rsidRPr="000D3913">
        <w:t xml:space="preserve"> The strategy is similar to the demographic model, but ignores renters.  Finally, w</w:t>
      </w:r>
      <w:r w:rsidR="00AD122D" w:rsidRPr="000D3913">
        <w:t xml:space="preserve">e implement a more structural approach to estimate the effect of the policies on local populations. </w:t>
      </w:r>
    </w:p>
    <w:p w14:paraId="282AAA6F" w14:textId="5B384198" w:rsidR="00B219A9" w:rsidRPr="000B46D7" w:rsidRDefault="00B219A9" w:rsidP="000B46D7">
      <w:pPr>
        <w:widowControl w:val="0"/>
        <w:spacing w:before="120" w:after="120" w:line="360" w:lineRule="auto"/>
        <w:ind w:firstLine="720"/>
        <w:jc w:val="both"/>
        <w:rPr>
          <w:rFonts w:eastAsiaTheme="minorEastAsia"/>
        </w:rPr>
      </w:pPr>
      <w:r w:rsidRPr="00A148F9">
        <w:t>We find a significant increase in older homeowners attributable to the combined effect of age-based property tax exemptions on location decisions an</w:t>
      </w:r>
      <w:r w:rsidR="001B453A" w:rsidRPr="00A148F9">
        <w:t>d housing tenure</w:t>
      </w:r>
      <w:r w:rsidR="00C10FA6" w:rsidRPr="00A148F9">
        <w:t xml:space="preserve">.  </w:t>
      </w:r>
      <w:r w:rsidR="001B453A" w:rsidRPr="00A148F9">
        <w:t>A ten percent increase in county households residing in a jurisdiction with age-based exemptions causes a 4</w:t>
      </w:r>
      <w:r w:rsidR="00A148F9">
        <w:t>-6</w:t>
      </w:r>
      <w:r w:rsidR="001B453A" w:rsidRPr="00A148F9">
        <w:t xml:space="preserve"> percent increase in the number of older homeowners</w:t>
      </w:r>
      <w:r w:rsidR="00797A24" w:rsidRPr="00A148F9">
        <w:t>,</w:t>
      </w:r>
      <w:r w:rsidR="0020568A" w:rsidRPr="00A148F9">
        <w:t xml:space="preserve"> net of the change in untreated counties</w:t>
      </w:r>
      <w:r w:rsidR="00797A24" w:rsidRPr="00A148F9">
        <w:t xml:space="preserve">, relative to </w:t>
      </w:r>
      <w:r w:rsidR="0020568A" w:rsidRPr="00A148F9">
        <w:t>the change in older renters and younger households in treated counties</w:t>
      </w:r>
      <w:r w:rsidR="00C10FA6" w:rsidRPr="00A148F9">
        <w:t xml:space="preserve">.  </w:t>
      </w:r>
      <w:r w:rsidR="0020568A" w:rsidRPr="00A148F9">
        <w:rPr>
          <w:rFonts w:eastAsiaTheme="minorEastAsia"/>
        </w:rPr>
        <w:t xml:space="preserve">These estimates are </w:t>
      </w:r>
      <w:r w:rsidR="00797A24" w:rsidRPr="00A148F9">
        <w:rPr>
          <w:rFonts w:eastAsiaTheme="minorEastAsia"/>
        </w:rPr>
        <w:t>generally</w:t>
      </w:r>
      <w:r w:rsidR="0020568A" w:rsidRPr="00A148F9">
        <w:rPr>
          <w:rFonts w:eastAsiaTheme="minorEastAsia"/>
        </w:rPr>
        <w:t xml:space="preserve"> stable over a </w:t>
      </w:r>
      <w:r w:rsidR="00A148F9">
        <w:rPr>
          <w:rFonts w:eastAsiaTheme="minorEastAsia"/>
        </w:rPr>
        <w:t xml:space="preserve">range of </w:t>
      </w:r>
      <w:r w:rsidR="0020568A" w:rsidRPr="00A148F9">
        <w:rPr>
          <w:rFonts w:eastAsiaTheme="minorEastAsia"/>
        </w:rPr>
        <w:t>specifications</w:t>
      </w:r>
      <w:r w:rsidR="00797A24" w:rsidRPr="00A148F9">
        <w:rPr>
          <w:rFonts w:eastAsiaTheme="minorEastAsia"/>
        </w:rPr>
        <w:t xml:space="preserve">, including controls for the </w:t>
      </w:r>
      <w:r w:rsidR="0028192A" w:rsidRPr="00A148F9">
        <w:rPr>
          <w:rFonts w:eastAsiaTheme="minorEastAsia"/>
        </w:rPr>
        <w:t>intensity of the exemption</w:t>
      </w:r>
      <w:r w:rsidR="00797A24" w:rsidRPr="00A148F9">
        <w:rPr>
          <w:rFonts w:eastAsiaTheme="minorEastAsia"/>
        </w:rPr>
        <w:t>.</w:t>
      </w:r>
      <w:r w:rsidR="00A148F9" w:rsidRPr="00A148F9">
        <w:rPr>
          <w:rFonts w:eastAsiaTheme="minorEastAsia"/>
        </w:rPr>
        <w:t xml:space="preserve">  </w:t>
      </w:r>
      <w:r w:rsidR="00A148F9">
        <w:rPr>
          <w:rFonts w:eastAsiaTheme="minorEastAsia"/>
        </w:rPr>
        <w:t>Explicitly modeling substitution pattern with a structural model</w:t>
      </w:r>
      <w:r w:rsidR="00A148F9" w:rsidRPr="00A148F9">
        <w:rPr>
          <w:rFonts w:eastAsiaTheme="minorEastAsia"/>
        </w:rPr>
        <w:t xml:space="preserve">, </w:t>
      </w:r>
      <w:r w:rsidR="00A148F9">
        <w:rPr>
          <w:rFonts w:eastAsiaTheme="minorEastAsia"/>
        </w:rPr>
        <w:t xml:space="preserve">we find </w:t>
      </w:r>
      <w:r w:rsidR="00A148F9" w:rsidRPr="00A148F9">
        <w:rPr>
          <w:rFonts w:eastAsiaTheme="minorEastAsia"/>
        </w:rPr>
        <w:t>both older and younger owners are attracted by the policy.</w:t>
      </w:r>
      <w:r w:rsidR="00797A24" w:rsidRPr="00A148F9">
        <w:rPr>
          <w:rFonts w:eastAsiaTheme="minorEastAsia"/>
        </w:rPr>
        <w:t xml:space="preserve">  </w:t>
      </w:r>
      <w:r w:rsidR="001D42F7">
        <w:rPr>
          <w:rFonts w:eastAsiaTheme="minorEastAsia"/>
        </w:rPr>
        <w:t>We further find that in a counterfactual world where Cobb County (with Georgia's most generous exemptions for the elderly) had not enacted the policy, the population of older homeowners would be lower by an amount equal to 3-5% of the County's population.  Finally, w</w:t>
      </w:r>
      <w:r w:rsidR="00797A24" w:rsidRPr="00A148F9">
        <w:rPr>
          <w:rFonts w:eastAsiaTheme="minorEastAsia"/>
        </w:rPr>
        <w:t>e</w:t>
      </w:r>
      <w:r w:rsidR="00AD122D" w:rsidRPr="00A148F9">
        <w:rPr>
          <w:rFonts w:eastAsiaTheme="minorEastAsia"/>
        </w:rPr>
        <w:t xml:space="preserve"> </w:t>
      </w:r>
      <w:r w:rsidR="00797A24" w:rsidRPr="00A148F9">
        <w:rPr>
          <w:rFonts w:eastAsiaTheme="minorEastAsia"/>
        </w:rPr>
        <w:t xml:space="preserve">find that </w:t>
      </w:r>
      <w:r w:rsidR="0020568A" w:rsidRPr="00A148F9">
        <w:rPr>
          <w:rFonts w:eastAsiaTheme="minorEastAsia"/>
        </w:rPr>
        <w:t>exemptions induce increases in housing consumption by older households.</w:t>
      </w:r>
      <w:r w:rsidR="0028192A" w:rsidRPr="00A148F9">
        <w:rPr>
          <w:rFonts w:eastAsiaTheme="minorEastAsia"/>
        </w:rPr>
        <w:t xml:space="preserve">  However, these results are not robust to models that control for county-specific time trends by age-tenure</w:t>
      </w:r>
      <w:r w:rsidR="00AD122D" w:rsidRPr="00A148F9">
        <w:rPr>
          <w:rFonts w:eastAsiaTheme="minorEastAsia"/>
        </w:rPr>
        <w:t xml:space="preserve"> as well as decade-by-age and decade-by-urban status effects</w:t>
      </w:r>
      <w:r w:rsidR="0028192A" w:rsidRPr="00A148F9">
        <w:rPr>
          <w:rFonts w:eastAsiaTheme="minorEastAsia"/>
        </w:rPr>
        <w:t>, which may be too demanding of the data.</w:t>
      </w:r>
    </w:p>
    <w:p w14:paraId="5989C2B5" w14:textId="43EA2375" w:rsidR="0020568A" w:rsidRPr="000B46D7" w:rsidRDefault="0020568A" w:rsidP="000B46D7">
      <w:pPr>
        <w:widowControl w:val="0"/>
        <w:spacing w:before="120" w:after="120" w:line="360" w:lineRule="auto"/>
        <w:ind w:firstLine="720"/>
        <w:jc w:val="both"/>
      </w:pPr>
      <w:r w:rsidRPr="000B46D7">
        <w:rPr>
          <w:rFonts w:eastAsiaTheme="minorEastAsia"/>
        </w:rPr>
        <w:t xml:space="preserve">The paper proceeds in the next section </w:t>
      </w:r>
      <w:r w:rsidR="0028192A" w:rsidRPr="000B46D7">
        <w:rPr>
          <w:rFonts w:eastAsiaTheme="minorEastAsia"/>
        </w:rPr>
        <w:t xml:space="preserve">by outlining our empirical strategy.  </w:t>
      </w:r>
      <w:r w:rsidRPr="000B46D7">
        <w:rPr>
          <w:rFonts w:eastAsiaTheme="minorEastAsia"/>
        </w:rPr>
        <w:t xml:space="preserve">We detail the local property tax exemptions and describe the Georgia Property Tax </w:t>
      </w:r>
      <w:r w:rsidR="001B0451" w:rsidRPr="000B46D7">
        <w:rPr>
          <w:rFonts w:eastAsiaTheme="minorEastAsia"/>
        </w:rPr>
        <w:t>D</w:t>
      </w:r>
      <w:r w:rsidRPr="000B46D7">
        <w:rPr>
          <w:rFonts w:eastAsiaTheme="minorEastAsia"/>
        </w:rPr>
        <w:t xml:space="preserve">ata </w:t>
      </w:r>
      <w:r w:rsidR="001B0451" w:rsidRPr="000B46D7">
        <w:rPr>
          <w:rFonts w:eastAsiaTheme="minorEastAsia"/>
        </w:rPr>
        <w:t>B</w:t>
      </w:r>
      <w:r w:rsidRPr="000B46D7">
        <w:rPr>
          <w:rFonts w:eastAsiaTheme="minorEastAsia"/>
        </w:rPr>
        <w:t>ase in S</w:t>
      </w:r>
      <w:r w:rsidR="00AF4249" w:rsidRPr="000B46D7">
        <w:rPr>
          <w:rFonts w:eastAsiaTheme="minorEastAsia"/>
        </w:rPr>
        <w:t>ection </w:t>
      </w:r>
      <w:r w:rsidRPr="000B46D7">
        <w:rPr>
          <w:rFonts w:eastAsiaTheme="minorEastAsia"/>
        </w:rPr>
        <w:t>3</w:t>
      </w:r>
      <w:r w:rsidR="00C10FA6" w:rsidRPr="000B46D7">
        <w:rPr>
          <w:rFonts w:eastAsiaTheme="minorEastAsia"/>
        </w:rPr>
        <w:t xml:space="preserve">.  </w:t>
      </w:r>
      <w:r w:rsidR="0028192A" w:rsidRPr="000B46D7">
        <w:rPr>
          <w:rFonts w:eastAsiaTheme="minorEastAsia"/>
        </w:rPr>
        <w:t>Section</w:t>
      </w:r>
      <w:r w:rsidR="00AF4249" w:rsidRPr="000B46D7">
        <w:rPr>
          <w:rFonts w:eastAsiaTheme="minorEastAsia"/>
        </w:rPr>
        <w:t> </w:t>
      </w:r>
      <w:r w:rsidR="0028192A" w:rsidRPr="000B46D7">
        <w:rPr>
          <w:rFonts w:eastAsiaTheme="minorEastAsia"/>
        </w:rPr>
        <w:t>4 summarizes trends in the data, while Section</w:t>
      </w:r>
      <w:r w:rsidR="00AF4249" w:rsidRPr="000B46D7">
        <w:rPr>
          <w:rFonts w:eastAsiaTheme="minorEastAsia"/>
        </w:rPr>
        <w:t> </w:t>
      </w:r>
      <w:r w:rsidR="0028192A" w:rsidRPr="000B46D7">
        <w:rPr>
          <w:rFonts w:eastAsiaTheme="minorEastAsia"/>
        </w:rPr>
        <w:t>5 presents our main results</w:t>
      </w:r>
      <w:r w:rsidR="00C10FA6" w:rsidRPr="000B46D7">
        <w:rPr>
          <w:rFonts w:eastAsiaTheme="minorEastAsia"/>
        </w:rPr>
        <w:t xml:space="preserve">.  </w:t>
      </w:r>
      <w:r w:rsidRPr="000B46D7">
        <w:rPr>
          <w:rFonts w:eastAsiaTheme="minorEastAsia"/>
        </w:rPr>
        <w:t>Section</w:t>
      </w:r>
      <w:r w:rsidR="00AF4249" w:rsidRPr="000B46D7">
        <w:rPr>
          <w:rFonts w:eastAsiaTheme="minorEastAsia"/>
        </w:rPr>
        <w:t> </w:t>
      </w:r>
      <w:r w:rsidRPr="000B46D7">
        <w:rPr>
          <w:rFonts w:eastAsiaTheme="minorEastAsia"/>
        </w:rPr>
        <w:t>6 provides some concluding remarks</w:t>
      </w:r>
      <w:r w:rsidR="00C10FA6" w:rsidRPr="000B46D7">
        <w:rPr>
          <w:rFonts w:eastAsiaTheme="minorEastAsia"/>
        </w:rPr>
        <w:t>.</w:t>
      </w:r>
    </w:p>
    <w:p w14:paraId="5033562F" w14:textId="27A0B8F7" w:rsidR="005B0EB5" w:rsidRPr="000B46D7" w:rsidRDefault="005B0EB5" w:rsidP="000B46D7">
      <w:pPr>
        <w:pStyle w:val="OurHeading1"/>
        <w:widowControl w:val="0"/>
        <w:contextualSpacing w:val="0"/>
        <w:jc w:val="both"/>
      </w:pPr>
      <w:r w:rsidRPr="000B46D7">
        <w:t xml:space="preserve">Empirical </w:t>
      </w:r>
      <w:r w:rsidR="0055094D" w:rsidRPr="000B46D7">
        <w:t>Strategy</w:t>
      </w:r>
    </w:p>
    <w:p w14:paraId="1752AA61" w14:textId="750CF596" w:rsidR="00036C34" w:rsidRPr="000B46D7" w:rsidRDefault="00036C34" w:rsidP="007B7120">
      <w:pPr>
        <w:widowControl w:val="0"/>
        <w:spacing w:before="120" w:after="120" w:line="360" w:lineRule="auto"/>
        <w:jc w:val="both"/>
      </w:pPr>
      <w:r w:rsidRPr="000B46D7">
        <w:t>As noted above, w</w:t>
      </w:r>
      <w:r w:rsidR="00D73EDC" w:rsidRPr="000B46D7">
        <w:t xml:space="preserve">e expect age-based property tax exemptions to affect </w:t>
      </w:r>
      <w:r w:rsidRPr="000B46D7">
        <w:t xml:space="preserve">the locational decisions of older households, their housing tenure, and their housing consumption.  Unfortunately, we do not observe moves (by age </w:t>
      </w:r>
      <w:r w:rsidR="004532DF" w:rsidRPr="000B46D7">
        <w:t>and tenure) directly, but only repeated</w:t>
      </w:r>
      <w:r w:rsidRPr="000B46D7">
        <w:t xml:space="preserve"> snapshot</w:t>
      </w:r>
      <w:r w:rsidR="004532DF" w:rsidRPr="000B46D7">
        <w:t>s</w:t>
      </w:r>
      <w:r w:rsidRPr="000B46D7">
        <w:t xml:space="preserve"> of </w:t>
      </w:r>
      <w:r w:rsidR="004532DF" w:rsidRPr="000B46D7">
        <w:t>the population by age and</w:t>
      </w:r>
      <w:r w:rsidRPr="000B46D7">
        <w:t xml:space="preserve"> tenure</w:t>
      </w:r>
      <w:r w:rsidR="004532DF" w:rsidRPr="000B46D7">
        <w:t xml:space="preserve"> and the owner-occupied housing stock by age</w:t>
      </w:r>
      <w:r w:rsidRPr="000B46D7">
        <w:t xml:space="preserve">.  Accordingly, we group the first two as </w:t>
      </w:r>
      <w:r w:rsidRPr="000B46D7">
        <w:lastRenderedPageBreak/>
        <w:t xml:space="preserve">a combined effect at the extensive margin, which we call the </w:t>
      </w:r>
      <w:r w:rsidRPr="000B46D7">
        <w:rPr>
          <w:i/>
        </w:rPr>
        <w:t>older homeowner effect</w:t>
      </w:r>
      <w:r w:rsidRPr="000B46D7">
        <w:t xml:space="preserve">.  We consider these effects separately from the </w:t>
      </w:r>
      <w:r w:rsidRPr="000B46D7">
        <w:rPr>
          <w:i/>
        </w:rPr>
        <w:t>housing consumption effect</w:t>
      </w:r>
      <w:r w:rsidRPr="000B46D7">
        <w:t xml:space="preserve"> </w:t>
      </w:r>
      <w:r w:rsidR="004D7965" w:rsidRPr="000B46D7">
        <w:t>at the intensive margin.</w:t>
      </w:r>
    </w:p>
    <w:p w14:paraId="71241736" w14:textId="7401EFD9" w:rsidR="00D73EDC" w:rsidRPr="000B46D7" w:rsidRDefault="00036C34" w:rsidP="000B46D7">
      <w:pPr>
        <w:pStyle w:val="OurHeading2"/>
        <w:widowControl w:val="0"/>
        <w:jc w:val="both"/>
      </w:pPr>
      <w:r w:rsidRPr="000B46D7">
        <w:t xml:space="preserve">2.1  </w:t>
      </w:r>
      <w:r w:rsidR="004D7965" w:rsidRPr="000B46D7">
        <w:t>The Older Homeowner Effect</w:t>
      </w:r>
    </w:p>
    <w:p w14:paraId="76FCCF0B" w14:textId="125FD9D3" w:rsidR="006C6C7A" w:rsidRDefault="004D7965" w:rsidP="000B46D7">
      <w:pPr>
        <w:keepNext/>
        <w:widowControl w:val="0"/>
        <w:spacing w:before="120" w:after="120" w:line="360" w:lineRule="auto"/>
        <w:ind w:firstLine="720"/>
        <w:jc w:val="both"/>
        <w:rPr>
          <w:rFonts w:eastAsia="Times New Roman"/>
          <w:shd w:val="clear" w:color="auto" w:fill="FFFFFF"/>
        </w:rPr>
      </w:pPr>
      <w:r w:rsidRPr="000B46D7">
        <w:t>If age-based property tax exemptions affect the locational decisions of older homeowners and their housing tenure decisions, we would expect to find more older homeowners in counties with more generous exemptions, relative both to older renters and to younger homeowners, ceteris paribus.  To minimize possible threats to identification caused by unobservables coincident to the adoption of age-based property tax exemptions and to migratory and housing decisions</w:t>
      </w:r>
      <w:r w:rsidRPr="00255766">
        <w:t xml:space="preserve">, we use a </w:t>
      </w:r>
      <w:r w:rsidR="005500B0" w:rsidRPr="00255766">
        <w:t>"</w:t>
      </w:r>
      <w:r w:rsidR="009A6DF2" w:rsidRPr="00255766">
        <w:t>quadruple-difference</w:t>
      </w:r>
      <w:r w:rsidR="005500B0" w:rsidRPr="00255766">
        <w:t>"</w:t>
      </w:r>
      <w:r w:rsidR="009A6DF2" w:rsidRPr="00255766">
        <w:t xml:space="preserve"> strategy</w:t>
      </w:r>
      <w:r w:rsidR="00C10FA6" w:rsidRPr="000B46D7">
        <w:t xml:space="preserve">.  </w:t>
      </w:r>
      <w:r w:rsidR="009A6DF2" w:rsidRPr="000B46D7">
        <w:t>In particular</w:t>
      </w:r>
      <w:r w:rsidR="00537561" w:rsidRPr="000B46D7">
        <w:t xml:space="preserve">, we </w:t>
      </w:r>
      <w:r w:rsidR="00507A36" w:rsidRPr="000B46D7">
        <w:t xml:space="preserve">define four categories of household demographic types: </w:t>
      </w:r>
      <w:r w:rsidR="00C86602">
        <w:t xml:space="preserve"> </w:t>
      </w:r>
      <w:r w:rsidR="00507A36" w:rsidRPr="000B46D7">
        <w:t>older homeowners, older renters, young homeowners, and young renters</w:t>
      </w:r>
      <w:r w:rsidR="00C10FA6" w:rsidRPr="000B46D7">
        <w:t xml:space="preserve">.  </w:t>
      </w:r>
      <w:r w:rsidR="00041001" w:rsidRPr="000B46D7">
        <w:t>We then estimate</w:t>
      </w:r>
      <w:r w:rsidR="00507A36" w:rsidRPr="000B46D7">
        <w:t xml:space="preserve"> </w:t>
      </w:r>
      <w:r w:rsidR="000E2564" w:rsidRPr="000B46D7">
        <w:t>the</w:t>
      </w:r>
      <w:r w:rsidR="00041001" w:rsidRPr="000B46D7">
        <w:t xml:space="preserve"> </w:t>
      </w:r>
      <w:r w:rsidR="004D0FC8" w:rsidRPr="000B46D7">
        <w:t>logged</w:t>
      </w:r>
      <w:r w:rsidR="00507A36" w:rsidRPr="000B46D7">
        <w:t xml:space="preserve"> number </w:t>
      </w:r>
      <w:r w:rsidR="00303122" w:rsidRPr="000B46D7">
        <w:t xml:space="preserve">of </w:t>
      </w:r>
      <w:r w:rsidR="00507A36" w:rsidRPr="000B46D7">
        <w:rPr>
          <w:rFonts w:eastAsia="Times New Roman"/>
          <w:shd w:val="clear" w:color="auto" w:fill="FFFFFF"/>
        </w:rPr>
        <w:t xml:space="preserve">households of demographic </w:t>
      </w:r>
      <w:r w:rsidR="00041001" w:rsidRPr="000B46D7">
        <w:rPr>
          <w:rFonts w:eastAsia="Times New Roman"/>
          <w:shd w:val="clear" w:color="auto" w:fill="FFFFFF"/>
        </w:rPr>
        <w:t>category</w:t>
      </w:r>
      <w:r w:rsidR="00507A36" w:rsidRPr="000B46D7">
        <w:rPr>
          <w:rFonts w:eastAsia="Times New Roman"/>
          <w:shd w:val="clear" w:color="auto" w:fill="FFFFFF"/>
        </w:rPr>
        <w:t xml:space="preserve"> </w:t>
      </w:r>
      <w:r w:rsidR="00507A36" w:rsidRPr="000B46D7">
        <w:rPr>
          <w:rFonts w:eastAsia="Times New Roman"/>
          <w:i/>
          <w:shd w:val="clear" w:color="auto" w:fill="FFFFFF"/>
        </w:rPr>
        <w:t xml:space="preserve">i </w:t>
      </w:r>
      <w:r w:rsidR="00507A36" w:rsidRPr="000B46D7">
        <w:rPr>
          <w:rFonts w:eastAsia="Times New Roman"/>
          <w:shd w:val="clear" w:color="auto" w:fill="FFFFFF"/>
        </w:rPr>
        <w:t xml:space="preserve">living in jurisdiction </w:t>
      </w:r>
      <w:r w:rsidR="00507A36" w:rsidRPr="000B46D7">
        <w:rPr>
          <w:rFonts w:eastAsia="Times New Roman"/>
          <w:i/>
          <w:shd w:val="clear" w:color="auto" w:fill="FFFFFF"/>
        </w:rPr>
        <w:t>j</w:t>
      </w:r>
      <w:r w:rsidR="00507A36" w:rsidRPr="000B46D7">
        <w:rPr>
          <w:rFonts w:eastAsia="Times New Roman"/>
          <w:shd w:val="clear" w:color="auto" w:fill="FFFFFF"/>
        </w:rPr>
        <w:t xml:space="preserve"> </w:t>
      </w:r>
      <w:r w:rsidR="002E6B21" w:rsidRPr="000B46D7">
        <w:rPr>
          <w:rFonts w:eastAsia="Times New Roman"/>
          <w:shd w:val="clear" w:color="auto" w:fill="FFFFFF"/>
        </w:rPr>
        <w:t>at decade</w:t>
      </w:r>
      <w:r w:rsidR="00507A36" w:rsidRPr="000B46D7">
        <w:rPr>
          <w:rFonts w:eastAsia="Times New Roman"/>
          <w:shd w:val="clear" w:color="auto" w:fill="FFFFFF"/>
        </w:rPr>
        <w:t xml:space="preserve"> </w:t>
      </w:r>
      <w:r w:rsidR="00507A36" w:rsidRPr="000B46D7">
        <w:rPr>
          <w:rFonts w:eastAsia="Times New Roman"/>
          <w:i/>
          <w:shd w:val="clear" w:color="auto" w:fill="FFFFFF"/>
        </w:rPr>
        <w:t>t</w:t>
      </w:r>
      <w:r w:rsidR="00507A36" w:rsidRPr="000B46D7">
        <w:rPr>
          <w:rFonts w:eastAsia="Times New Roman"/>
          <w:shd w:val="clear" w:color="auto" w:fill="FFFFFF"/>
        </w:rPr>
        <w:t xml:space="preserve"> </w:t>
      </w:r>
      <w:r w:rsidR="000111BD" w:rsidRPr="000B46D7">
        <w:rPr>
          <w:rFonts w:eastAsia="Times New Roman"/>
          <w:shd w:val="clear" w:color="auto" w:fill="FFFFFF"/>
        </w:rPr>
        <w:t>(from 197</w:t>
      </w:r>
      <w:r w:rsidR="002E6B21" w:rsidRPr="000B46D7">
        <w:rPr>
          <w:rFonts w:eastAsia="Times New Roman"/>
          <w:shd w:val="clear" w:color="auto" w:fill="FFFFFF"/>
        </w:rPr>
        <w:t xml:space="preserve">0 to 2010) </w:t>
      </w:r>
      <w:r w:rsidR="00507A36" w:rsidRPr="000B46D7">
        <w:rPr>
          <w:rFonts w:eastAsia="Times New Roman"/>
          <w:shd w:val="clear" w:color="auto" w:fill="FFFFFF"/>
        </w:rPr>
        <w:t xml:space="preserve">by: </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
        <w:gridCol w:w="1076"/>
        <w:gridCol w:w="7560"/>
      </w:tblGrid>
      <w:tr w:rsidR="00D02EE8" w:rsidRPr="00752B6F" w14:paraId="1C1989D5" w14:textId="77777777" w:rsidTr="00E26EA4">
        <w:tc>
          <w:tcPr>
            <w:tcW w:w="904" w:type="dxa"/>
          </w:tcPr>
          <w:p w14:paraId="7E2EABE5" w14:textId="77777777" w:rsidR="00D02EE8" w:rsidRPr="000B46D7" w:rsidRDefault="00D02EE8" w:rsidP="00E26EA4">
            <w:pPr>
              <w:pStyle w:val="Ourbodytext"/>
              <w:widowControl w:val="0"/>
              <w:ind w:firstLine="0"/>
              <w:jc w:val="both"/>
            </w:pPr>
            <w:r w:rsidRPr="000B46D7">
              <w:t>(</w:t>
            </w:r>
            <w:r>
              <w:t>1</w:t>
            </w:r>
            <w:r w:rsidRPr="000B46D7">
              <w:t>)</w:t>
            </w:r>
          </w:p>
        </w:tc>
        <w:tc>
          <w:tcPr>
            <w:tcW w:w="1076" w:type="dxa"/>
          </w:tcPr>
          <w:p w14:paraId="5F857556" w14:textId="77777777" w:rsidR="00D02EE8" w:rsidRPr="00752B6F" w:rsidRDefault="00CA1404" w:rsidP="00E26EA4">
            <w:pPr>
              <w:pStyle w:val="Ourbodytext"/>
              <w:widowControl w:val="0"/>
              <w:ind w:firstLine="0"/>
            </w:pPr>
            <m:oMathPara>
              <m:oMathParaPr>
                <m:jc m:val="right"/>
              </m:oMathParaP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ijt</m:t>
                        </m:r>
                      </m:sub>
                    </m:sSub>
                  </m:e>
                </m:func>
                <m:r>
                  <w:rPr>
                    <w:rFonts w:ascii="Cambria Math" w:hAnsi="Cambria Math"/>
                  </w:rPr>
                  <m:t>=</m:t>
                </m:r>
              </m:oMath>
            </m:oMathPara>
          </w:p>
        </w:tc>
        <w:tc>
          <w:tcPr>
            <w:tcW w:w="7560" w:type="dxa"/>
          </w:tcPr>
          <w:p w14:paraId="1DF35BE8" w14:textId="3C928E2D" w:rsidR="00D02EE8" w:rsidRPr="00752B6F" w:rsidRDefault="00CA1404" w:rsidP="00E26EA4">
            <w:pPr>
              <w:pStyle w:val="Ourbodytext"/>
              <w:widowControl w:val="0"/>
              <w:ind w:firstLine="0"/>
              <w:jc w:val="both"/>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m:t>
                    </m:r>
                  </m:sub>
                </m:sSub>
                <m:sSub>
                  <m:sSubPr>
                    <m:ctrlPr>
                      <w:rPr>
                        <w:rFonts w:ascii="Cambria Math" w:hAnsi="Cambria Math"/>
                        <w:i/>
                      </w:rPr>
                    </m:ctrlPr>
                  </m:sSubPr>
                  <m:e>
                    <m:r>
                      <w:rPr>
                        <w:rFonts w:ascii="Cambria Math" w:hAnsi="Cambria Math"/>
                      </w:rPr>
                      <m:t>1</m:t>
                    </m:r>
                    <m:d>
                      <m:dPr>
                        <m:ctrlPr>
                          <w:rPr>
                            <w:rFonts w:ascii="Cambria Math" w:hAnsi="Cambria Math"/>
                            <w:i/>
                          </w:rPr>
                        </m:ctrlPr>
                      </m:dPr>
                      <m:e>
                        <m:r>
                          <w:rPr>
                            <w:rFonts w:ascii="Cambria Math" w:hAnsi="Cambria Math"/>
                          </w:rPr>
                          <m:t>Older</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
                  <m:sSubPr>
                    <m:ctrlPr>
                      <w:rPr>
                        <w:rFonts w:ascii="Cambria Math" w:hAnsi="Cambria Math"/>
                        <w:i/>
                      </w:rPr>
                    </m:ctrlPr>
                  </m:sSubPr>
                  <m:e>
                    <m:r>
                      <w:rPr>
                        <w:rFonts w:ascii="Cambria Math" w:hAnsi="Cambria Math"/>
                      </w:rPr>
                      <m:t>1</m:t>
                    </m:r>
                    <m:d>
                      <m:dPr>
                        <m:ctrlPr>
                          <w:rPr>
                            <w:rFonts w:ascii="Cambria Math" w:hAnsi="Cambria Math"/>
                            <w:i/>
                          </w:rPr>
                        </m:ctrlPr>
                      </m:dPr>
                      <m:e>
                        <m:r>
                          <w:rPr>
                            <w:rFonts w:ascii="Cambria Math" w:hAnsi="Cambria Math"/>
                          </w:rPr>
                          <m:t>Owner</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3</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Owner</m:t>
                            </m:r>
                          </m:e>
                        </m:d>
                        <m:r>
                          <w:rPr>
                            <w:rFonts w:ascii="Cambria Math" w:hAnsi="Cambria Math"/>
                          </w:rPr>
                          <m:t>×1</m:t>
                        </m:r>
                        <m:d>
                          <m:dPr>
                            <m:ctrlPr>
                              <w:rPr>
                                <w:rFonts w:ascii="Cambria Math" w:hAnsi="Cambria Math"/>
                                <w:i/>
                              </w:rPr>
                            </m:ctrlPr>
                          </m:dPr>
                          <m:e>
                            <m:r>
                              <w:rPr>
                                <w:rFonts w:ascii="Cambria Math" w:hAnsi="Cambria Math"/>
                              </w:rPr>
                              <m:t>Older</m:t>
                            </m:r>
                          </m:e>
                        </m:d>
                      </m:e>
                    </m:d>
                  </m:e>
                  <m:sub>
                    <m:r>
                      <w:rPr>
                        <w:rFonts w:ascii="Cambria Math" w:hAnsi="Cambria Math"/>
                      </w:rPr>
                      <m:t>i</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4</m:t>
                    </m:r>
                  </m:sub>
                </m:sSub>
                <m:sSub>
                  <m:sSubPr>
                    <m:ctrlPr>
                      <w:rPr>
                        <w:rFonts w:ascii="Cambria Math" w:hAnsi="Cambria Math"/>
                        <w:i/>
                      </w:rPr>
                    </m:ctrlPr>
                  </m:sSubPr>
                  <m:e>
                    <m:r>
                      <w:rPr>
                        <w:rFonts w:ascii="Cambria Math" w:hAnsi="Cambria Math"/>
                      </w:rPr>
                      <m:t>Treatment</m:t>
                    </m:r>
                  </m:e>
                  <m:sub>
                    <m:r>
                      <w:rPr>
                        <w:rFonts w:ascii="Cambria Math" w:hAnsi="Cambria Math"/>
                      </w:rPr>
                      <m:t>jt</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5</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Older</m:t>
                            </m:r>
                          </m:e>
                        </m:d>
                        <m:r>
                          <w:rPr>
                            <w:rFonts w:ascii="Cambria Math" w:hAnsi="Cambria Math"/>
                          </w:rPr>
                          <m:t>×Treatment</m:t>
                        </m:r>
                      </m:e>
                    </m:d>
                  </m:e>
                  <m:sub>
                    <m:r>
                      <w:rPr>
                        <w:rFonts w:ascii="Cambria Math" w:hAnsi="Cambria Math"/>
                      </w:rPr>
                      <m:t>ijt</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6</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Owner</m:t>
                            </m:r>
                          </m:e>
                        </m:d>
                        <m:r>
                          <w:rPr>
                            <w:rFonts w:ascii="Cambria Math" w:hAnsi="Cambria Math"/>
                          </w:rPr>
                          <m:t>×Treatment</m:t>
                        </m:r>
                      </m:e>
                    </m:d>
                  </m:e>
                  <m:sub>
                    <m:r>
                      <w:rPr>
                        <w:rFonts w:ascii="Cambria Math" w:hAnsi="Cambria Math"/>
                      </w:rPr>
                      <m:t>ijt</m:t>
                    </m:r>
                  </m:sub>
                </m:sSub>
                <m:r>
                  <m:rPr>
                    <m:sty m:val="p"/>
                  </m:rPr>
                  <w:rPr>
                    <w:rFonts w:ascii="Cambria Math" w:hAnsi="Cambria Math"/>
                  </w:rPr>
                  <w:br/>
                </m:r>
              </m:oMath>
            </m:oMathPara>
            <m:oMath>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7</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Owner</m:t>
                          </m:r>
                        </m:e>
                      </m:d>
                      <m:r>
                        <w:rPr>
                          <w:rFonts w:ascii="Cambria Math" w:hAnsi="Cambria Math"/>
                        </w:rPr>
                        <m:t>×1</m:t>
                      </m:r>
                      <m:d>
                        <m:dPr>
                          <m:ctrlPr>
                            <w:rPr>
                              <w:rFonts w:ascii="Cambria Math" w:hAnsi="Cambria Math"/>
                              <w:i/>
                            </w:rPr>
                          </m:ctrlPr>
                        </m:dPr>
                        <m:e>
                          <m:r>
                            <w:rPr>
                              <w:rFonts w:ascii="Cambria Math" w:hAnsi="Cambria Math"/>
                            </w:rPr>
                            <m:t>Older</m:t>
                          </m:r>
                        </m:e>
                      </m:d>
                      <m:r>
                        <w:rPr>
                          <w:rFonts w:ascii="Cambria Math" w:hAnsi="Cambria Math"/>
                        </w:rPr>
                        <m:t>×Treatment</m:t>
                      </m:r>
                    </m:e>
                  </m:d>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t</m:t>
                  </m:r>
                </m:sub>
              </m:sSub>
              <m:sSub>
                <m:sSubPr>
                  <m:ctrlPr>
                    <w:rPr>
                      <w:rFonts w:ascii="Cambria Math" w:hAnsi="Cambria Math"/>
                      <w:i/>
                    </w:rPr>
                  </m:ctrlPr>
                </m:sSubPr>
                <m:e>
                  <m:r>
                    <w:rPr>
                      <w:rFonts w:ascii="Cambria Math" w:hAnsi="Cambria Math"/>
                    </w:rPr>
                    <m:t>+ ε</m:t>
                  </m:r>
                </m:e>
                <m:sub>
                  <m:r>
                    <w:rPr>
                      <w:rFonts w:ascii="Cambria Math" w:hAnsi="Cambria Math"/>
                    </w:rPr>
                    <m:t>ijt</m:t>
                  </m:r>
                </m:sub>
              </m:sSub>
              <m:r>
                <w:rPr>
                  <w:rFonts w:ascii="Cambria Math" w:hAnsi="Cambria Math"/>
                </w:rPr>
                <m:t>,</m:t>
              </m:r>
            </m:oMath>
            <w:r w:rsidR="00D02EE8">
              <w:t xml:space="preserve"> </w:t>
            </w:r>
          </w:p>
        </w:tc>
      </w:tr>
    </w:tbl>
    <w:p w14:paraId="7F136AE7" w14:textId="236B099F" w:rsidR="00537561" w:rsidRPr="000B46D7" w:rsidRDefault="00537561" w:rsidP="000B46D7">
      <w:pPr>
        <w:pStyle w:val="Ourbodytext"/>
        <w:widowControl w:val="0"/>
        <w:ind w:firstLine="0"/>
        <w:jc w:val="both"/>
      </w:pPr>
      <w:r w:rsidRPr="000B46D7">
        <w:t>where</w:t>
      </w:r>
      <m:oMath>
        <m:r>
          <w:rPr>
            <w:rFonts w:ascii="Cambria Math" w:hAnsi="Cambria Math"/>
          </w:rPr>
          <m:t xml:space="preserve"> </m:t>
        </m:r>
        <m:sSub>
          <m:sSubPr>
            <m:ctrlPr>
              <w:rPr>
                <w:rFonts w:ascii="Cambria Math" w:hAnsi="Cambria Math"/>
                <w:i/>
              </w:rPr>
            </m:ctrlPr>
          </m:sSubPr>
          <m:e>
            <m:r>
              <w:rPr>
                <w:rFonts w:ascii="Cambria Math" w:hAnsi="Cambria Math"/>
              </w:rPr>
              <m:t>Treatment</m:t>
            </m:r>
          </m:e>
          <m:sub>
            <m:r>
              <w:rPr>
                <w:rFonts w:ascii="Cambria Math" w:hAnsi="Cambria Math"/>
              </w:rPr>
              <m:t>jt</m:t>
            </m:r>
          </m:sub>
        </m:sSub>
      </m:oMath>
      <w:r w:rsidR="00255766" w:rsidRPr="000B46D7">
        <w:t xml:space="preserve"> is one of the age-based treatment variables discussed in more detail below, </w:t>
      </w:r>
      <w:r w:rsidR="00255766">
        <w:t xml:space="preserve">which indicate whether county </w:t>
      </w:r>
      <w:r w:rsidR="00255766">
        <w:rPr>
          <w:i/>
        </w:rPr>
        <w:t>j</w:t>
      </w:r>
      <w:r w:rsidR="00255766">
        <w:t xml:space="preserve"> has an aged-based exemption at time </w:t>
      </w:r>
      <w:r w:rsidR="00255766">
        <w:rPr>
          <w:i/>
        </w:rPr>
        <w:t>t</w:t>
      </w:r>
      <w:r w:rsidR="00255766">
        <w:t>,</w:t>
      </w:r>
      <w:r w:rsidRPr="000B46D7">
        <w:t xml:space="preserve"> </w:t>
      </w:r>
      <m:oMath>
        <m:sSub>
          <m:sSubPr>
            <m:ctrlPr>
              <w:rPr>
                <w:rFonts w:ascii="Cambria Math" w:hAnsi="Cambria Math"/>
                <w:i/>
              </w:rPr>
            </m:ctrlPr>
          </m:sSubPr>
          <m:e>
            <m:r>
              <w:rPr>
                <w:rFonts w:ascii="Cambria Math" w:hAnsi="Cambria Math"/>
              </w:rPr>
              <m:t>1</m:t>
            </m:r>
            <m:d>
              <m:dPr>
                <m:ctrlPr>
                  <w:rPr>
                    <w:rFonts w:ascii="Cambria Math" w:hAnsi="Cambria Math"/>
                    <w:i/>
                  </w:rPr>
                </m:ctrlPr>
              </m:dPr>
              <m:e>
                <m:r>
                  <w:rPr>
                    <w:rFonts w:ascii="Cambria Math" w:hAnsi="Cambria Math"/>
                  </w:rPr>
                  <m:t>Older</m:t>
                </m:r>
              </m:e>
            </m:d>
          </m:e>
          <m:sub>
            <m:r>
              <w:rPr>
                <w:rFonts w:ascii="Cambria Math" w:hAnsi="Cambria Math"/>
              </w:rPr>
              <m:t>i</m:t>
            </m:r>
          </m:sub>
        </m:sSub>
      </m:oMath>
      <w:r w:rsidRPr="000B46D7">
        <w:t xml:space="preserve"> is a dummy variable for </w:t>
      </w:r>
      <w:r w:rsidR="00255766">
        <w:t xml:space="preserve">whether treatment group </w:t>
      </w:r>
      <w:r w:rsidR="00255766">
        <w:rPr>
          <w:i/>
        </w:rPr>
        <w:t>i</w:t>
      </w:r>
      <w:r w:rsidRPr="000B46D7">
        <w:t xml:space="preserve"> </w:t>
      </w:r>
      <w:r w:rsidR="00255766">
        <w:t xml:space="preserve">is for </w:t>
      </w:r>
      <w:r w:rsidRPr="000B46D7">
        <w:t xml:space="preserve">households aged 65 and older, </w:t>
      </w:r>
      <m:oMath>
        <m:sSub>
          <m:sSubPr>
            <m:ctrlPr>
              <w:rPr>
                <w:rFonts w:ascii="Cambria Math" w:hAnsi="Cambria Math"/>
                <w:i/>
              </w:rPr>
            </m:ctrlPr>
          </m:sSubPr>
          <m:e>
            <m:r>
              <w:rPr>
                <w:rFonts w:ascii="Cambria Math" w:hAnsi="Cambria Math"/>
              </w:rPr>
              <m:t>1</m:t>
            </m:r>
            <m:d>
              <m:dPr>
                <m:ctrlPr>
                  <w:rPr>
                    <w:rFonts w:ascii="Cambria Math" w:hAnsi="Cambria Math"/>
                    <w:i/>
                  </w:rPr>
                </m:ctrlPr>
              </m:dPr>
              <m:e>
                <m:r>
                  <w:rPr>
                    <w:rFonts w:ascii="Cambria Math" w:hAnsi="Cambria Math"/>
                  </w:rPr>
                  <m:t>Owner</m:t>
                </m:r>
              </m:e>
            </m:d>
          </m:e>
          <m:sub>
            <m:r>
              <w:rPr>
                <w:rFonts w:ascii="Cambria Math" w:hAnsi="Cambria Math"/>
              </w:rPr>
              <m:t>i</m:t>
            </m:r>
          </m:sub>
        </m:sSub>
      </m:oMath>
      <w:r w:rsidR="00507A36" w:rsidRPr="000B46D7">
        <w:t xml:space="preserve"> is an indicator var</w:t>
      </w:r>
      <w:r w:rsidR="00255766">
        <w:t xml:space="preserve">iable equal to one if treatment group </w:t>
      </w:r>
      <w:r w:rsidR="00255766">
        <w:rPr>
          <w:i/>
        </w:rPr>
        <w:t>i</w:t>
      </w:r>
      <w:r w:rsidR="00255766">
        <w:t xml:space="preserve"> involves </w:t>
      </w:r>
      <w:r w:rsidR="00507A36" w:rsidRPr="000B46D7">
        <w:t>homeowner</w:t>
      </w:r>
      <w:r w:rsidR="00086B08" w:rsidRPr="000B46D7">
        <w:t>s</w:t>
      </w:r>
      <w:r w:rsidR="00507A36" w:rsidRPr="000B46D7">
        <w:t xml:space="preserve">,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rsidRPr="000B46D7">
        <w:t xml:space="preserve"> is a vector of county fixed effects,</w:t>
      </w:r>
      <w:r w:rsidR="00507A36" w:rsidRPr="000B46D7">
        <w:t xml:space="preserve"> and </w:t>
      </w: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Pr="000B46D7">
        <w:t xml:space="preserve"> is the vector </w:t>
      </w:r>
      <w:r w:rsidR="00507A36" w:rsidRPr="000B46D7">
        <w:t>of time fixed effects</w:t>
      </w:r>
      <w:r w:rsidRPr="000B46D7">
        <w:t>.</w:t>
      </w:r>
    </w:p>
    <w:p w14:paraId="39060B71" w14:textId="58F617CE" w:rsidR="000F5B55" w:rsidRPr="000B46D7" w:rsidRDefault="00507A36" w:rsidP="000B46D7">
      <w:pPr>
        <w:widowControl w:val="0"/>
        <w:spacing w:before="120" w:after="120" w:line="360" w:lineRule="auto"/>
        <w:ind w:firstLine="720"/>
        <w:jc w:val="both"/>
        <w:rPr>
          <w:rFonts w:eastAsiaTheme="minorEastAsia"/>
        </w:rPr>
      </w:pPr>
      <w:r w:rsidRPr="000B46D7">
        <w:rPr>
          <w:rFonts w:eastAsiaTheme="minorEastAsia"/>
        </w:rPr>
        <w:t>Our coefficient of interest is</w:t>
      </w:r>
      <w:r w:rsidR="00086B08" w:rsidRPr="000B46D7">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7</m:t>
            </m:r>
          </m:sub>
        </m:sSub>
      </m:oMath>
      <w:r w:rsidR="00086B08" w:rsidRPr="000B46D7">
        <w:rPr>
          <w:rFonts w:eastAsiaTheme="minorEastAsia"/>
        </w:rPr>
        <w:t>,</w:t>
      </w:r>
      <w:r w:rsidRPr="000B46D7">
        <w:rPr>
          <w:rFonts w:eastAsiaTheme="minorEastAsia"/>
        </w:rPr>
        <w:t xml:space="preserve"> </w:t>
      </w:r>
      <w:r w:rsidR="00285DF6" w:rsidRPr="000B46D7">
        <w:rPr>
          <w:rFonts w:eastAsiaTheme="minorEastAsia"/>
        </w:rPr>
        <w:t xml:space="preserve">the coefficient on the interaction term </w:t>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Owner</m:t>
                    </m:r>
                  </m:e>
                </m:d>
                <m:r>
                  <w:rPr>
                    <w:rFonts w:ascii="Cambria Math" w:hAnsi="Cambria Math"/>
                  </w:rPr>
                  <m:t>×1</m:t>
                </m:r>
                <m:d>
                  <m:dPr>
                    <m:ctrlPr>
                      <w:rPr>
                        <w:rFonts w:ascii="Cambria Math" w:hAnsi="Cambria Math"/>
                        <w:i/>
                      </w:rPr>
                    </m:ctrlPr>
                  </m:dPr>
                  <m:e>
                    <m:r>
                      <w:rPr>
                        <w:rFonts w:ascii="Cambria Math" w:hAnsi="Cambria Math"/>
                      </w:rPr>
                      <m:t>Older</m:t>
                    </m:r>
                  </m:e>
                </m:d>
                <m:r>
                  <w:rPr>
                    <w:rFonts w:ascii="Cambria Math" w:hAnsi="Cambria Math"/>
                  </w:rPr>
                  <m:t>×Treatment</m:t>
                </m:r>
              </m:e>
            </m:d>
          </m:e>
          <m:sub>
            <m:r>
              <w:rPr>
                <w:rFonts w:ascii="Cambria Math" w:hAnsi="Cambria Math"/>
              </w:rPr>
              <m:t>ijt</m:t>
            </m:r>
          </m:sub>
        </m:sSub>
      </m:oMath>
      <w:r w:rsidR="00C10FA6" w:rsidRPr="000B46D7">
        <w:rPr>
          <w:rFonts w:eastAsiaTheme="minorEastAsia"/>
        </w:rPr>
        <w:t xml:space="preserve">.  </w:t>
      </w:r>
      <w:r w:rsidR="00086B08" w:rsidRPr="000B46D7">
        <w:rPr>
          <w:rFonts w:eastAsiaTheme="minorEastAsia"/>
        </w:rPr>
        <w:t xml:space="preserve">This term represents a </w:t>
      </w:r>
      <w:r w:rsidR="005500B0" w:rsidRPr="000B46D7">
        <w:rPr>
          <w:rFonts w:eastAsiaTheme="minorEastAsia"/>
        </w:rPr>
        <w:t>"</w:t>
      </w:r>
      <w:r w:rsidR="00285DF6" w:rsidRPr="000B46D7">
        <w:rPr>
          <w:rFonts w:eastAsiaTheme="minorEastAsia"/>
        </w:rPr>
        <w:t>quadruple-difference</w:t>
      </w:r>
      <w:r w:rsidR="00086B08" w:rsidRPr="000B46D7">
        <w:rPr>
          <w:rFonts w:eastAsiaTheme="minorEastAsia"/>
        </w:rPr>
        <w:t>.</w:t>
      </w:r>
      <w:r w:rsidR="005500B0" w:rsidRPr="000B46D7">
        <w:rPr>
          <w:rFonts w:eastAsiaTheme="minorEastAsia"/>
        </w:rPr>
        <w:t>"</w:t>
      </w:r>
      <w:r w:rsidR="00086B08" w:rsidRPr="000B46D7">
        <w:rPr>
          <w:rFonts w:eastAsiaTheme="minorEastAsia"/>
        </w:rPr>
        <w:t xml:space="preserve">  To see this,</w:t>
      </w:r>
      <w:r w:rsidR="00285DF6" w:rsidRPr="000B46D7">
        <w:rPr>
          <w:rFonts w:eastAsiaTheme="minorEastAsia"/>
        </w:rPr>
        <w:t xml:space="preserve"> note that </w:t>
      </w:r>
      <w:r w:rsidR="00687A31" w:rsidRPr="000B46D7">
        <w:rPr>
          <w:rFonts w:eastAsiaTheme="minorEastAsia"/>
        </w:rPr>
        <w:t xml:space="preserve">if we omitted the terms for </w:t>
      </w:r>
      <m:oMath>
        <m:sSub>
          <m:sSubPr>
            <m:ctrlPr>
              <w:rPr>
                <w:rFonts w:ascii="Cambria Math" w:hAnsi="Cambria Math"/>
                <w:i/>
              </w:rPr>
            </m:ctrlPr>
          </m:sSubPr>
          <m:e>
            <m:r>
              <w:rPr>
                <w:rFonts w:ascii="Cambria Math" w:hAnsi="Cambria Math"/>
              </w:rPr>
              <m:t>γ</m:t>
            </m:r>
          </m:e>
          <m:sub>
            <m:r>
              <w:rPr>
                <w:rFonts w:ascii="Cambria Math" w:hAnsi="Cambria Math"/>
              </w:rPr>
              <m:t>5</m:t>
            </m:r>
          </m:sub>
        </m:sSub>
      </m:oMath>
      <w:r w:rsidR="00687A31" w:rsidRPr="000B46D7">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6</m:t>
            </m:r>
          </m:sub>
        </m:sSub>
      </m:oMath>
      <w:r w:rsidR="00687A31" w:rsidRPr="000B46D7">
        <w:rPr>
          <w:rFonts w:eastAsiaTheme="minorEastAsia"/>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7</m:t>
            </m:r>
          </m:sub>
        </m:sSub>
      </m:oMath>
      <w:r w:rsidR="00687A31" w:rsidRPr="000B46D7">
        <w:rPr>
          <w:rFonts w:eastAsiaTheme="minorEastAsia"/>
        </w:rPr>
        <w:t xml:space="preserve">, </w:t>
      </w:r>
      <w:r w:rsidR="00285DF6" w:rsidRPr="000B46D7">
        <w:rPr>
          <w:rFonts w:eastAsiaTheme="minorEastAsia"/>
        </w:rPr>
        <w:t xml:space="preserve">the </w:t>
      </w:r>
      <w:r w:rsidR="00086B08" w:rsidRPr="000B46D7">
        <w:rPr>
          <w:rFonts w:eastAsiaTheme="minorEastAsia"/>
        </w:rPr>
        <w:t>standard</w:t>
      </w:r>
      <w:r w:rsidR="00285DF6" w:rsidRPr="000B46D7">
        <w:rPr>
          <w:rFonts w:eastAsiaTheme="minorEastAsia"/>
        </w:rPr>
        <w:t xml:space="preserve"> difference-in-differences</w:t>
      </w:r>
      <w:r w:rsidR="00920B47" w:rsidRPr="000B46D7">
        <w:rPr>
          <w:rFonts w:eastAsiaTheme="minorEastAsia"/>
        </w:rPr>
        <w:t xml:space="preserve"> (DD)</w:t>
      </w:r>
      <w:r w:rsidR="00285DF6" w:rsidRPr="000B46D7">
        <w:rPr>
          <w:rFonts w:eastAsiaTheme="minorEastAsia"/>
        </w:rPr>
        <w:t xml:space="preserve"> estimat</w:t>
      </w:r>
      <w:r w:rsidR="00687A31" w:rsidRPr="000B46D7">
        <w:rPr>
          <w:rFonts w:eastAsiaTheme="minorEastAsia"/>
        </w:rPr>
        <w:t>e</w:t>
      </w:r>
      <w:r w:rsidR="00285DF6" w:rsidRPr="000B46D7">
        <w:rPr>
          <w:rFonts w:eastAsiaTheme="minorEastAsia"/>
        </w:rPr>
        <w:t xml:space="preserve"> </w:t>
      </w:r>
      <w:r w:rsidR="00687A31" w:rsidRPr="000B46D7">
        <w:rPr>
          <w:rFonts w:eastAsiaTheme="minorEastAsia"/>
        </w:rPr>
        <w:t>would be</w:t>
      </w:r>
      <w:r w:rsidR="00285DF6" w:rsidRPr="000B46D7">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4</m:t>
            </m:r>
          </m:sub>
        </m:sSub>
      </m:oMath>
      <w:r w:rsidR="00285DF6" w:rsidRPr="000B46D7">
        <w:rPr>
          <w:rFonts w:eastAsiaTheme="minorEastAsia"/>
        </w:rPr>
        <w:t>, the coefficient on our treatment variable</w:t>
      </w:r>
      <w:r w:rsidR="00086B08" w:rsidRPr="000B46D7">
        <w:rPr>
          <w:rFonts w:eastAsiaTheme="minorEastAsia"/>
        </w:rPr>
        <w:t xml:space="preserve">, which differs by jurisdiction and time (as represented by fixed effects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rsidR="00C10FA6" w:rsidRPr="000B46D7">
        <w:rPr>
          <w:rFonts w:eastAsiaTheme="minorEastAsia"/>
        </w:rPr>
        <w:t xml:space="preserve"> </w:t>
      </w:r>
      <w:r w:rsidR="00086B08" w:rsidRPr="000B46D7">
        <w:rPr>
          <w:rFonts w:eastAsiaTheme="minorEastAsia"/>
        </w:rPr>
        <w:t xml:space="preserve">and </w:t>
      </w: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00687A31" w:rsidRPr="000B46D7">
        <w:rPr>
          <w:rFonts w:eastAsiaTheme="minorEastAsia"/>
        </w:rPr>
        <w:t>).</w:t>
      </w:r>
      <w:r w:rsidR="00086B08" w:rsidRPr="000B46D7">
        <w:rPr>
          <w:rFonts w:eastAsiaTheme="minorEastAsia"/>
        </w:rPr>
        <w:t xml:space="preserve"> </w:t>
      </w:r>
      <w:r w:rsidR="00C10FA6" w:rsidRPr="000B46D7">
        <w:rPr>
          <w:rFonts w:eastAsiaTheme="minorEastAsia"/>
        </w:rPr>
        <w:t xml:space="preserve"> </w:t>
      </w:r>
      <w:r w:rsidR="000F5B55" w:rsidRPr="000B46D7">
        <w:rPr>
          <w:rFonts w:eastAsiaTheme="minorEastAsia"/>
        </w:rPr>
        <w:t xml:space="preserve">The DD </w:t>
      </w:r>
      <w:r w:rsidR="00303122" w:rsidRPr="000B46D7">
        <w:rPr>
          <w:rFonts w:eastAsiaTheme="minorEastAsia"/>
        </w:rPr>
        <w:t>therefore</w:t>
      </w:r>
      <w:r w:rsidR="00285DF6" w:rsidRPr="000B46D7">
        <w:rPr>
          <w:rFonts w:eastAsiaTheme="minorEastAsia"/>
        </w:rPr>
        <w:t xml:space="preserve"> </w:t>
      </w:r>
      <w:r w:rsidR="000F5B55" w:rsidRPr="000B46D7">
        <w:rPr>
          <w:rFonts w:eastAsiaTheme="minorEastAsia"/>
        </w:rPr>
        <w:t xml:space="preserve">is </w:t>
      </w:r>
      <w:r w:rsidR="00920B47" w:rsidRPr="000B46D7">
        <w:rPr>
          <w:rFonts w:eastAsiaTheme="minorEastAsia"/>
        </w:rPr>
        <w:t xml:space="preserve">identified </w:t>
      </w:r>
      <w:r w:rsidR="00285DF6" w:rsidRPr="000B46D7">
        <w:rPr>
          <w:rFonts w:eastAsiaTheme="minorEastAsia"/>
        </w:rPr>
        <w:t xml:space="preserve">from the </w:t>
      </w:r>
      <w:r w:rsidR="00285DF6" w:rsidRPr="000B46D7">
        <w:t>before/after and between-county variation in treatment</w:t>
      </w:r>
      <w:r w:rsidR="00C10FA6" w:rsidRPr="000B46D7">
        <w:t xml:space="preserve">.  </w:t>
      </w:r>
      <w:r w:rsidR="00285DF6" w:rsidRPr="000B46D7">
        <w:rPr>
          <w:rFonts w:eastAsiaTheme="minorEastAsia"/>
        </w:rPr>
        <w:t xml:space="preserve">However, because we have specified heterogeneous effects </w:t>
      </w:r>
      <w:r w:rsidR="00285DF6" w:rsidRPr="000B46D7">
        <w:rPr>
          <w:rFonts w:eastAsiaTheme="minorEastAsia"/>
        </w:rPr>
        <w:lastRenderedPageBreak/>
        <w:t xml:space="preserve">along the age and tenure dimensions, </w:t>
      </w:r>
      <w:r w:rsidR="00687A31" w:rsidRPr="000B46D7">
        <w:rPr>
          <w:rFonts w:eastAsiaTheme="minorEastAsia"/>
        </w:rPr>
        <w:t xml:space="preserve">in our model </w:t>
      </w:r>
      <m:oMath>
        <m:sSub>
          <m:sSubPr>
            <m:ctrlPr>
              <w:rPr>
                <w:rFonts w:ascii="Cambria Math" w:hAnsi="Cambria Math"/>
                <w:i/>
              </w:rPr>
            </m:ctrlPr>
          </m:sSubPr>
          <m:e>
            <m:r>
              <w:rPr>
                <w:rFonts w:ascii="Cambria Math" w:hAnsi="Cambria Math"/>
              </w:rPr>
              <m:t>γ</m:t>
            </m:r>
          </m:e>
          <m:sub>
            <m:r>
              <w:rPr>
                <w:rFonts w:ascii="Cambria Math" w:hAnsi="Cambria Math"/>
              </w:rPr>
              <m:t>4</m:t>
            </m:r>
          </m:sub>
        </m:sSub>
      </m:oMath>
      <w:r w:rsidR="00687A31" w:rsidRPr="000B46D7">
        <w:rPr>
          <w:rFonts w:eastAsiaTheme="minorEastAsia"/>
        </w:rPr>
        <w:t xml:space="preserve"> represents </w:t>
      </w:r>
      <w:r w:rsidR="00285DF6" w:rsidRPr="000B46D7">
        <w:rPr>
          <w:rFonts w:eastAsiaTheme="minorEastAsia"/>
        </w:rPr>
        <w:t xml:space="preserve">the </w:t>
      </w:r>
      <w:r w:rsidR="00920B47" w:rsidRPr="000B46D7">
        <w:rPr>
          <w:rFonts w:eastAsiaTheme="minorEastAsia"/>
        </w:rPr>
        <w:t>DD</w:t>
      </w:r>
      <w:r w:rsidR="00285DF6" w:rsidRPr="000B46D7">
        <w:rPr>
          <w:rFonts w:eastAsiaTheme="minorEastAsia"/>
        </w:rPr>
        <w:t xml:space="preserve"> for young renters</w:t>
      </w:r>
      <w:r w:rsidR="00C10FA6" w:rsidRPr="000B46D7">
        <w:rPr>
          <w:rFonts w:eastAsiaTheme="minorEastAsia"/>
        </w:rPr>
        <w:t xml:space="preserve">.  </w:t>
      </w:r>
      <w:r w:rsidR="00687A31" w:rsidRPr="000B46D7">
        <w:t xml:space="preserve">In total, </w:t>
      </w:r>
      <w:r w:rsidR="00687A31" w:rsidRPr="000B46D7">
        <w:rPr>
          <w:rFonts w:eastAsiaTheme="minorEastAsia"/>
        </w:rPr>
        <w:t>Equation (</w:t>
      </w:r>
      <w:r w:rsidR="00132BF0" w:rsidRPr="000B46D7">
        <w:rPr>
          <w:rFonts w:eastAsiaTheme="minorEastAsia"/>
        </w:rPr>
        <w:t>1</w:t>
      </w:r>
      <w:r w:rsidR="00687A31" w:rsidRPr="000B46D7">
        <w:rPr>
          <w:rFonts w:eastAsiaTheme="minorEastAsia"/>
        </w:rPr>
        <w:t xml:space="preserve">) estimates four difference-in-differences, as summarized </w:t>
      </w:r>
      <w:r w:rsidR="000F5B55" w:rsidRPr="000B46D7">
        <w:rPr>
          <w:rFonts w:eastAsiaTheme="minorEastAsia"/>
        </w:rPr>
        <w:t>in Table </w:t>
      </w:r>
      <w:r w:rsidR="00F613B7" w:rsidRPr="000B46D7">
        <w:rPr>
          <w:rFonts w:eastAsiaTheme="minorEastAsia"/>
        </w:rPr>
        <w:t>1</w:t>
      </w:r>
      <w:r w:rsidR="000F5B55" w:rsidRPr="000B46D7">
        <w:rPr>
          <w:rFonts w:eastAsiaTheme="minorEastAsia"/>
        </w:rPr>
        <w:t xml:space="preserve"> </w:t>
      </w:r>
      <w:r w:rsidR="00687A31" w:rsidRPr="000B46D7">
        <w:rPr>
          <w:rFonts w:eastAsiaTheme="minorEastAsia"/>
        </w:rPr>
        <w:t xml:space="preserve">by the four upper-left cells.  </w:t>
      </w:r>
      <w:r w:rsidR="000F5B55" w:rsidRPr="000B46D7">
        <w:rPr>
          <w:rFonts w:eastAsiaTheme="minorEastAsia"/>
        </w:rPr>
        <w:t xml:space="preserve">Our strategy compares the difference between the DD for older owners and </w:t>
      </w:r>
      <w:r w:rsidR="0080676A">
        <w:rPr>
          <w:rFonts w:eastAsiaTheme="minorEastAsia"/>
        </w:rPr>
        <w:t>older renters</w:t>
      </w:r>
      <w:r w:rsidR="000F5B55" w:rsidRPr="000B46D7">
        <w:rPr>
          <w:rFonts w:eastAsiaTheme="minorEastAsia"/>
        </w:rPr>
        <w:t xml:space="preserve"> (i.e. </w:t>
      </w:r>
      <m:oMath>
        <m:sSub>
          <m:sSubPr>
            <m:ctrlPr>
              <w:rPr>
                <w:rFonts w:ascii="Cambria Math" w:hAnsi="Cambria Math"/>
                <w:i/>
              </w:rPr>
            </m:ctrlPr>
          </m:sSubPr>
          <m:e>
            <m:r>
              <w:rPr>
                <w:rFonts w:ascii="Cambria Math" w:hAnsi="Cambria Math"/>
              </w:rPr>
              <m:t>γ</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7</m:t>
            </m:r>
          </m:sub>
        </m:sSub>
      </m:oMath>
      <w:r w:rsidR="000F5B55" w:rsidRPr="000B46D7">
        <w:rPr>
          <w:rFonts w:eastAsiaTheme="minorEastAsia"/>
        </w:rPr>
        <w:t xml:space="preserve">) to the difference between the DD for </w:t>
      </w:r>
      <w:r w:rsidR="0080676A">
        <w:rPr>
          <w:rFonts w:eastAsiaTheme="minorEastAsia"/>
        </w:rPr>
        <w:t>younger owners</w:t>
      </w:r>
      <w:r w:rsidR="000F5B55" w:rsidRPr="000B46D7">
        <w:rPr>
          <w:rFonts w:eastAsiaTheme="minorEastAsia"/>
        </w:rPr>
        <w:t xml:space="preserve"> and younger renters (i.e. </w:t>
      </w:r>
      <m:oMath>
        <m:sSub>
          <m:sSubPr>
            <m:ctrlPr>
              <w:rPr>
                <w:rFonts w:ascii="Cambria Math" w:hAnsi="Cambria Math"/>
                <w:i/>
              </w:rPr>
            </m:ctrlPr>
          </m:sSubPr>
          <m:e>
            <m:r>
              <w:rPr>
                <w:rFonts w:ascii="Cambria Math" w:hAnsi="Cambria Math"/>
              </w:rPr>
              <m:t>γ</m:t>
            </m:r>
          </m:e>
          <m:sub>
            <m:r>
              <w:rPr>
                <w:rFonts w:ascii="Cambria Math" w:hAnsi="Cambria Math"/>
              </w:rPr>
              <m:t>6</m:t>
            </m:r>
          </m:sub>
        </m:sSub>
      </m:oMath>
      <w:r w:rsidR="000F5B55" w:rsidRPr="000B46D7">
        <w:rPr>
          <w:rFonts w:eastAsiaTheme="minorEastAsia"/>
        </w:rPr>
        <w:t xml:space="preserve">).  This quadruple difference is </w:t>
      </w:r>
      <m:oMath>
        <m:sSub>
          <m:sSubPr>
            <m:ctrlPr>
              <w:rPr>
                <w:rFonts w:ascii="Cambria Math" w:hAnsi="Cambria Math"/>
                <w:i/>
              </w:rPr>
            </m:ctrlPr>
          </m:sSubPr>
          <m:e>
            <m:r>
              <w:rPr>
                <w:rFonts w:ascii="Cambria Math" w:hAnsi="Cambria Math"/>
              </w:rPr>
              <m:t>γ</m:t>
            </m:r>
          </m:e>
          <m:sub>
            <m:r>
              <w:rPr>
                <w:rFonts w:ascii="Cambria Math" w:hAnsi="Cambria Math"/>
              </w:rPr>
              <m:t>7</m:t>
            </m:r>
          </m:sub>
        </m:sSub>
      </m:oMath>
      <w:r w:rsidR="000F5B55" w:rsidRPr="000B46D7">
        <w:rPr>
          <w:rFonts w:eastAsiaTheme="minorEastAsia"/>
        </w:rPr>
        <w:t xml:space="preserve">.  Equivalently, we could define this as the difference between the DD for </w:t>
      </w:r>
      <w:r w:rsidR="004D0FC8" w:rsidRPr="000B46D7">
        <w:rPr>
          <w:rFonts w:eastAsiaTheme="minorEastAsia"/>
        </w:rPr>
        <w:t xml:space="preserve">older owners and </w:t>
      </w:r>
      <w:r w:rsidR="0080676A">
        <w:rPr>
          <w:rFonts w:eastAsiaTheme="minorEastAsia"/>
        </w:rPr>
        <w:t>younger owners</w:t>
      </w:r>
      <w:r w:rsidR="004D0FC8" w:rsidRPr="000B46D7">
        <w:rPr>
          <w:rFonts w:eastAsiaTheme="minorEastAsia"/>
        </w:rPr>
        <w:t xml:space="preserve"> </w:t>
      </w:r>
      <w:r w:rsidR="000F5B55" w:rsidRPr="000B46D7">
        <w:rPr>
          <w:rFonts w:eastAsiaTheme="minorEastAsia"/>
        </w:rPr>
        <w:t xml:space="preserve">(i.e. </w:t>
      </w:r>
      <m:oMath>
        <m:sSub>
          <m:sSubPr>
            <m:ctrlPr>
              <w:rPr>
                <w:rFonts w:ascii="Cambria Math" w:hAnsi="Cambria Math"/>
                <w:i/>
              </w:rPr>
            </m:ctrlPr>
          </m:sSubPr>
          <m:e>
            <m:r>
              <w:rPr>
                <w:rFonts w:ascii="Cambria Math" w:hAnsi="Cambria Math"/>
              </w:rPr>
              <m:t>γ</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7</m:t>
            </m:r>
          </m:sub>
        </m:sSub>
      </m:oMath>
      <w:r w:rsidR="000F5B55" w:rsidRPr="000B46D7">
        <w:rPr>
          <w:rFonts w:eastAsiaTheme="minorEastAsia"/>
        </w:rPr>
        <w:t xml:space="preserve">) to the difference between the DD for </w:t>
      </w:r>
      <w:r w:rsidR="0080676A">
        <w:rPr>
          <w:rFonts w:eastAsiaTheme="minorEastAsia"/>
        </w:rPr>
        <w:t>older</w:t>
      </w:r>
      <w:r w:rsidR="0080676A" w:rsidRPr="000B46D7">
        <w:rPr>
          <w:rFonts w:eastAsiaTheme="minorEastAsia"/>
        </w:rPr>
        <w:t xml:space="preserve"> </w:t>
      </w:r>
      <w:r w:rsidR="000F5B55" w:rsidRPr="000B46D7">
        <w:rPr>
          <w:rFonts w:eastAsiaTheme="minorEastAsia"/>
        </w:rPr>
        <w:t xml:space="preserve">and younger renters (i.e. </w:t>
      </w:r>
      <m:oMath>
        <m:sSub>
          <m:sSubPr>
            <m:ctrlPr>
              <w:rPr>
                <w:rFonts w:ascii="Cambria Math" w:hAnsi="Cambria Math"/>
                <w:i/>
              </w:rPr>
            </m:ctrlPr>
          </m:sSubPr>
          <m:e>
            <m:r>
              <w:rPr>
                <w:rFonts w:ascii="Cambria Math" w:hAnsi="Cambria Math"/>
              </w:rPr>
              <m:t>γ</m:t>
            </m:r>
          </m:e>
          <m:sub>
            <m:r>
              <w:rPr>
                <w:rFonts w:ascii="Cambria Math" w:hAnsi="Cambria Math"/>
              </w:rPr>
              <m:t>5</m:t>
            </m:r>
          </m:sub>
        </m:sSub>
      </m:oMath>
      <w:r w:rsidR="000F5B55" w:rsidRPr="000B46D7">
        <w:rPr>
          <w:rFonts w:eastAsiaTheme="minorEastAsia"/>
        </w:rPr>
        <w:t xml:space="preserve">).  Again, the difference is </w:t>
      </w:r>
      <m:oMath>
        <m:sSub>
          <m:sSubPr>
            <m:ctrlPr>
              <w:rPr>
                <w:rFonts w:ascii="Cambria Math" w:hAnsi="Cambria Math"/>
                <w:i/>
              </w:rPr>
            </m:ctrlPr>
          </m:sSubPr>
          <m:e>
            <m:r>
              <w:rPr>
                <w:rFonts w:ascii="Cambria Math" w:hAnsi="Cambria Math"/>
              </w:rPr>
              <m:t>γ</m:t>
            </m:r>
          </m:e>
          <m:sub>
            <m:r>
              <w:rPr>
                <w:rFonts w:ascii="Cambria Math" w:hAnsi="Cambria Math"/>
              </w:rPr>
              <m:t>7</m:t>
            </m:r>
          </m:sub>
        </m:sSub>
        <m:r>
          <w:rPr>
            <w:rFonts w:ascii="Cambria Math" w:hAnsi="Cambria Math"/>
          </w:rPr>
          <m:t>.</m:t>
        </m:r>
      </m:oMath>
    </w:p>
    <w:p w14:paraId="0C52DC24" w14:textId="749592B9" w:rsidR="001E3560" w:rsidRPr="000B46D7" w:rsidRDefault="000F5B55" w:rsidP="000B46D7">
      <w:pPr>
        <w:widowControl w:val="0"/>
        <w:spacing w:before="120" w:after="120" w:line="360" w:lineRule="auto"/>
        <w:ind w:firstLine="720"/>
        <w:jc w:val="both"/>
        <w:rPr>
          <w:rFonts w:eastAsiaTheme="minorEastAsia"/>
        </w:rPr>
      </w:pPr>
      <w:r w:rsidRPr="000B46D7">
        <w:t>This</w:t>
      </w:r>
      <w:r w:rsidR="002C13FA" w:rsidRPr="000B46D7">
        <w:t xml:space="preserve"> empirical strategy </w:t>
      </w:r>
      <w:r w:rsidR="0012399D" w:rsidRPr="000B46D7">
        <w:t>r</w:t>
      </w:r>
      <w:r w:rsidR="002C13FA" w:rsidRPr="000B46D7">
        <w:t xml:space="preserve">equires </w:t>
      </w:r>
      <w:r w:rsidR="001E3560" w:rsidRPr="000B46D7">
        <w:t>f</w:t>
      </w:r>
      <w:r w:rsidR="002C13FA" w:rsidRPr="000B46D7">
        <w:t>airly weak assumption</w:t>
      </w:r>
      <w:r w:rsidR="001E3560" w:rsidRPr="000B46D7">
        <w:t>s</w:t>
      </w:r>
      <w:r w:rsidR="002C13FA" w:rsidRPr="000B46D7">
        <w:t xml:space="preserve"> to interpret </w:t>
      </w:r>
      <m:oMath>
        <m:sSub>
          <m:sSubPr>
            <m:ctrlPr>
              <w:rPr>
                <w:rFonts w:ascii="Cambria Math" w:hAnsi="Cambria Math"/>
                <w:i/>
              </w:rPr>
            </m:ctrlPr>
          </m:sSubPr>
          <m:e>
            <m:r>
              <w:rPr>
                <w:rFonts w:ascii="Cambria Math" w:hAnsi="Cambria Math"/>
              </w:rPr>
              <m:t>γ</m:t>
            </m:r>
          </m:e>
          <m:sub>
            <m:r>
              <w:rPr>
                <w:rFonts w:ascii="Cambria Math" w:hAnsi="Cambria Math"/>
              </w:rPr>
              <m:t>7</m:t>
            </m:r>
          </m:sub>
        </m:sSub>
      </m:oMath>
      <w:r w:rsidR="002C13FA" w:rsidRPr="000B46D7">
        <w:rPr>
          <w:rFonts w:eastAsiaTheme="minorEastAsia"/>
        </w:rPr>
        <w:t xml:space="preserve"> </w:t>
      </w:r>
      <w:r w:rsidR="0021586D" w:rsidRPr="000B46D7">
        <w:rPr>
          <w:rFonts w:eastAsiaTheme="minorEastAsia"/>
        </w:rPr>
        <w:t xml:space="preserve">as </w:t>
      </w:r>
      <w:r w:rsidR="002C13FA" w:rsidRPr="000B46D7">
        <w:rPr>
          <w:rFonts w:eastAsiaTheme="minorEastAsia"/>
        </w:rPr>
        <w:t xml:space="preserve">the causal effect of the property tax </w:t>
      </w:r>
      <w:r w:rsidR="0012399D" w:rsidRPr="000B46D7">
        <w:rPr>
          <w:rFonts w:eastAsiaTheme="minorEastAsia"/>
        </w:rPr>
        <w:t>exemptions on older homeownership in the treated counties</w:t>
      </w:r>
      <w:r w:rsidR="00C10FA6" w:rsidRPr="000B46D7">
        <w:rPr>
          <w:rFonts w:eastAsiaTheme="minorEastAsia"/>
        </w:rPr>
        <w:t xml:space="preserve">.  </w:t>
      </w:r>
      <w:r w:rsidR="004D0FC8" w:rsidRPr="000B46D7">
        <w:rPr>
          <w:rFonts w:eastAsiaTheme="minorEastAsia"/>
        </w:rPr>
        <w:t xml:space="preserve">In particular, it allows for the possibility that changes in age-based property tax exemptions occur at the same time as other unobserved changes that influence population, homeownership, or even particular age groups.  It simply requires </w:t>
      </w:r>
      <w:r w:rsidR="00F61391" w:rsidRPr="000B46D7">
        <w:rPr>
          <w:rFonts w:eastAsiaTheme="minorEastAsia"/>
        </w:rPr>
        <w:t xml:space="preserve">that </w:t>
      </w:r>
      <w:r w:rsidR="006E7833" w:rsidRPr="000B46D7">
        <w:rPr>
          <w:rFonts w:eastAsiaTheme="minorEastAsia"/>
        </w:rPr>
        <w:t>any unobservable changes</w:t>
      </w:r>
      <w:r w:rsidR="00F61391" w:rsidRPr="000B46D7">
        <w:rPr>
          <w:rFonts w:eastAsiaTheme="minorEastAsia"/>
        </w:rPr>
        <w:t xml:space="preserve"> coincident to the policy </w:t>
      </w:r>
      <w:r w:rsidR="004D0FC8" w:rsidRPr="000B46D7">
        <w:rPr>
          <w:rFonts w:eastAsiaTheme="minorEastAsia"/>
        </w:rPr>
        <w:t xml:space="preserve">(in time and space) do not attract older owners, relative to older renters, differently than they attract younger owners, relative to younger renters.  This requirement is weaker than the assumption that such effects are identical for our four demographic groups.  </w:t>
      </w:r>
      <w:r w:rsidR="001E3560" w:rsidRPr="000B46D7">
        <w:rPr>
          <w:rFonts w:eastAsiaTheme="minorEastAsia"/>
        </w:rPr>
        <w:t xml:space="preserve">Finally, we assume that </w:t>
      </w:r>
      <w:r w:rsidRPr="000B46D7">
        <w:rPr>
          <w:rFonts w:eastAsiaTheme="minorEastAsia"/>
        </w:rPr>
        <w:t xml:space="preserve">any </w:t>
      </w:r>
      <w:r w:rsidR="001E3560" w:rsidRPr="000B46D7">
        <w:rPr>
          <w:rFonts w:eastAsiaTheme="minorEastAsia"/>
          <w:i/>
        </w:rPr>
        <w:t>one</w:t>
      </w:r>
      <w:r w:rsidR="001E3560" w:rsidRPr="000B46D7">
        <w:rPr>
          <w:rFonts w:eastAsiaTheme="minorEastAsia"/>
        </w:rPr>
        <w:t xml:space="preserve"> county</w:t>
      </w:r>
      <w:r w:rsidR="005500B0" w:rsidRPr="000B46D7">
        <w:rPr>
          <w:rFonts w:eastAsiaTheme="minorEastAsia"/>
        </w:rPr>
        <w:t>'</w:t>
      </w:r>
      <w:r w:rsidR="001E3560" w:rsidRPr="000B46D7">
        <w:rPr>
          <w:rFonts w:eastAsiaTheme="minorEastAsia"/>
        </w:rPr>
        <w:t xml:space="preserve">s age-based property tax exemption does not have a significant effect on </w:t>
      </w:r>
      <w:r w:rsidRPr="000B46D7">
        <w:rPr>
          <w:rFonts w:eastAsiaTheme="minorEastAsia"/>
        </w:rPr>
        <w:t>the</w:t>
      </w:r>
      <w:r w:rsidR="001E3560" w:rsidRPr="000B46D7">
        <w:rPr>
          <w:rFonts w:eastAsiaTheme="minorEastAsia"/>
        </w:rPr>
        <w:t xml:space="preserve"> outcomes</w:t>
      </w:r>
      <w:r w:rsidRPr="000B46D7">
        <w:rPr>
          <w:rFonts w:eastAsiaTheme="minorEastAsia"/>
        </w:rPr>
        <w:t xml:space="preserve"> of other counties</w:t>
      </w:r>
      <w:r w:rsidR="002E6B21" w:rsidRPr="000B46D7">
        <w:rPr>
          <w:rFonts w:eastAsiaTheme="minorEastAsia"/>
        </w:rPr>
        <w:t>.</w:t>
      </w:r>
      <w:r w:rsidR="0080676A">
        <w:rPr>
          <w:rFonts w:eastAsiaTheme="minorEastAsia"/>
        </w:rPr>
        <w:t xml:space="preserve">  (We do not need to rule out general equilibrium effects as a whole from the policy: only general equilibrium effects from one average county.)</w:t>
      </w:r>
    </w:p>
    <w:p w14:paraId="27D76145" w14:textId="2F237F55" w:rsidR="00206978" w:rsidRPr="000B46D7" w:rsidRDefault="00206978" w:rsidP="000B46D7">
      <w:pPr>
        <w:widowControl w:val="0"/>
        <w:spacing w:before="120" w:after="120" w:line="360" w:lineRule="auto"/>
        <w:ind w:firstLine="720"/>
        <w:jc w:val="both"/>
        <w:rPr>
          <w:rFonts w:eastAsiaTheme="minorEastAsia"/>
        </w:rPr>
      </w:pPr>
      <w:r w:rsidRPr="000B46D7">
        <w:rPr>
          <w:rFonts w:eastAsiaTheme="minorEastAsia"/>
        </w:rPr>
        <w:t>We also present estimates that rely on even weaker assumptions</w:t>
      </w:r>
      <w:r w:rsidR="00C10FA6" w:rsidRPr="000B46D7">
        <w:rPr>
          <w:rFonts w:eastAsiaTheme="minorEastAsia"/>
        </w:rPr>
        <w:t xml:space="preserve">.  </w:t>
      </w:r>
      <w:r w:rsidRPr="000B46D7">
        <w:rPr>
          <w:rFonts w:eastAsiaTheme="minorEastAsia"/>
        </w:rPr>
        <w:t xml:space="preserve">Specifically, </w:t>
      </w:r>
      <w:r w:rsidR="00DD74E1" w:rsidRPr="000B46D7">
        <w:rPr>
          <w:rFonts w:eastAsiaTheme="minorEastAsia"/>
        </w:rPr>
        <w:t xml:space="preserve">our base models, presented below, </w:t>
      </w:r>
      <w:r w:rsidR="009E6FAB" w:rsidRPr="000B46D7">
        <w:rPr>
          <w:rFonts w:eastAsiaTheme="minorEastAsia"/>
        </w:rPr>
        <w:t>augment Equation (1) with</w:t>
      </w:r>
      <w:r w:rsidR="00DD74E1" w:rsidRPr="000B46D7">
        <w:t xml:space="preserve"> </w:t>
      </w:r>
      <w:r w:rsidR="009E6FAB" w:rsidRPr="000B46D7">
        <w:t xml:space="preserve">yearXolder </w:t>
      </w:r>
      <w:r w:rsidR="00DD74E1" w:rsidRPr="000B46D7">
        <w:t xml:space="preserve">and yearXowner effects.  Too, </w:t>
      </w:r>
      <w:r w:rsidRPr="000B46D7">
        <w:rPr>
          <w:rFonts w:eastAsiaTheme="minorEastAsia"/>
        </w:rPr>
        <w:t xml:space="preserve">we present estimates that </w:t>
      </w:r>
      <w:r w:rsidR="00DD74E1" w:rsidRPr="000B46D7">
        <w:t>include</w:t>
      </w:r>
      <w:r w:rsidR="00DB12B5" w:rsidRPr="000B46D7">
        <w:t xml:space="preserve"> exemption-year and exemption-county </w:t>
      </w:r>
      <w:r w:rsidR="00A369E9" w:rsidRPr="000B46D7">
        <w:t>interactions</w:t>
      </w:r>
      <w:r w:rsidR="00C10FA6" w:rsidRPr="000B46D7">
        <w:t xml:space="preserve">.  </w:t>
      </w:r>
      <w:r w:rsidR="004037DE" w:rsidRPr="000B46D7">
        <w:t>This controls for the potentially heterogeneous effects of a law on a particular county (independent of the demographic group) and likewise in a particular decade</w:t>
      </w:r>
      <w:r w:rsidR="00C10FA6" w:rsidRPr="000B46D7">
        <w:t xml:space="preserve">.  </w:t>
      </w:r>
      <w:r w:rsidR="00DB12B5" w:rsidRPr="000B46D7">
        <w:t>We also present results from a specification that add</w:t>
      </w:r>
      <w:r w:rsidR="00F613B7" w:rsidRPr="000B46D7">
        <w:t>s</w:t>
      </w:r>
      <w:r w:rsidR="00DB12B5" w:rsidRPr="000B46D7">
        <w:t xml:space="preserve"> exemption-year, exemption-county, county-age, county-owner, owner-year, and year-age-urban status </w:t>
      </w:r>
      <w:r w:rsidR="004037DE" w:rsidRPr="000B46D7">
        <w:t>interactions</w:t>
      </w:r>
      <w:r w:rsidR="00DB12B5" w:rsidRPr="000B46D7">
        <w:t xml:space="preserve"> to Equation (</w:t>
      </w:r>
      <w:r w:rsidR="009E6FAB" w:rsidRPr="000B46D7">
        <w:t>1</w:t>
      </w:r>
      <w:r w:rsidR="00DB12B5" w:rsidRPr="000B46D7">
        <w:t>).</w:t>
      </w:r>
      <w:r w:rsidR="00DB12B5" w:rsidRPr="000B46D7">
        <w:rPr>
          <w:rStyle w:val="FootnoteReference"/>
        </w:rPr>
        <w:footnoteReference w:id="1"/>
      </w:r>
      <w:r w:rsidR="004037DE" w:rsidRPr="000B46D7">
        <w:t xml:space="preserve"> </w:t>
      </w:r>
      <w:r w:rsidR="002E6B21" w:rsidRPr="000B46D7">
        <w:t xml:space="preserve"> </w:t>
      </w:r>
      <w:r w:rsidR="004037DE" w:rsidRPr="000B46D7">
        <w:t xml:space="preserve">This model controls for potentially heterogeneous effects of the law in a particular county or decade as well as county-level demographic </w:t>
      </w:r>
      <w:r w:rsidR="004037DE" w:rsidRPr="000B46D7">
        <w:lastRenderedPageBreak/>
        <w:t>trends, and any general rural-urban migration tendencies by age group in a particular decade.</w:t>
      </w:r>
      <w:r w:rsidR="002E6B21" w:rsidRPr="000B46D7">
        <w:t xml:space="preserve">  Finally, </w:t>
      </w:r>
      <w:r w:rsidR="00FE26E9" w:rsidRPr="000B46D7">
        <w:t xml:space="preserve">as an alternative, </w:t>
      </w:r>
      <w:r w:rsidR="002E6B21" w:rsidRPr="000B46D7">
        <w:t>we consider models in which the dependent variable is the percentage change in the population of the demographic group, essentially allowing for county-by-demographic-group time trends</w:t>
      </w:r>
      <w:r w:rsidR="00FE26E9" w:rsidRPr="000B46D7">
        <w:t xml:space="preserve"> (which now absorb the average percentage change for each group)</w:t>
      </w:r>
      <w:r w:rsidR="002E6B21" w:rsidRPr="000B46D7">
        <w:t>.</w:t>
      </w:r>
      <w:r w:rsidR="00006E38" w:rsidRPr="000B46D7">
        <w:t xml:space="preserve">  These models are quite demanding of the data, as the</w:t>
      </w:r>
      <w:r w:rsidR="00D92024" w:rsidRPr="000B46D7">
        <w:t>y</w:t>
      </w:r>
      <w:r w:rsidR="00006E38" w:rsidRPr="000B46D7">
        <w:t xml:space="preserve"> require picking up "tilting" in the population growth curves at the time of adoption, even when responses may be sluggish.</w:t>
      </w:r>
    </w:p>
    <w:p w14:paraId="49C6533E" w14:textId="3BB9E47B" w:rsidR="00D73EDC" w:rsidRPr="000B46D7" w:rsidRDefault="00036C34" w:rsidP="000B46D7">
      <w:pPr>
        <w:pStyle w:val="OurHeading2"/>
        <w:widowControl w:val="0"/>
        <w:jc w:val="both"/>
      </w:pPr>
      <w:r w:rsidRPr="000B46D7">
        <w:t xml:space="preserve">2.2  </w:t>
      </w:r>
      <w:r w:rsidR="00D73EDC" w:rsidRPr="000B46D7">
        <w:t>The Housing Consumption Effect</w:t>
      </w:r>
    </w:p>
    <w:p w14:paraId="1DB4EE38" w14:textId="792864C0" w:rsidR="005655C7" w:rsidRPr="000B46D7" w:rsidRDefault="002E6B21" w:rsidP="000B46D7">
      <w:pPr>
        <w:widowControl w:val="0"/>
        <w:spacing w:before="120" w:after="120" w:line="360" w:lineRule="auto"/>
        <w:ind w:firstLine="720"/>
        <w:jc w:val="both"/>
        <w:rPr>
          <w:rFonts w:eastAsia="Times New Roman"/>
          <w:shd w:val="clear" w:color="auto" w:fill="FFFFFF"/>
        </w:rPr>
      </w:pPr>
      <w:r w:rsidRPr="000B46D7">
        <w:t xml:space="preserve">In addition to these locational and tenure effects, we also consider </w:t>
      </w:r>
      <w:r w:rsidR="005655C7" w:rsidRPr="000B46D7">
        <w:t>the effect of the policy on housing consumption using mean housing values by age</w:t>
      </w:r>
      <w:r w:rsidR="000F5B55" w:rsidRPr="000B46D7">
        <w:t xml:space="preserve">.  However, because our housing value data is available for owner-occupied units only, we substitute </w:t>
      </w:r>
      <w:r w:rsidR="005655C7" w:rsidRPr="000B46D7">
        <w:t xml:space="preserve">a </w:t>
      </w:r>
      <w:r w:rsidR="005500B0" w:rsidRPr="000B46D7">
        <w:t>"</w:t>
      </w:r>
      <w:r w:rsidR="005655C7" w:rsidRPr="000B46D7">
        <w:t>triple-difference</w:t>
      </w:r>
      <w:r w:rsidR="005500B0" w:rsidRPr="000B46D7">
        <w:t>"</w:t>
      </w:r>
      <w:r w:rsidR="005655C7" w:rsidRPr="000B46D7">
        <w:t xml:space="preserve"> strategy</w:t>
      </w:r>
      <w:r w:rsidR="000F5B55" w:rsidRPr="000B46D7">
        <w:t xml:space="preserve"> for the </w:t>
      </w:r>
      <w:r w:rsidR="005655C7" w:rsidRPr="000B46D7">
        <w:t>quadruple-difference strategy outlined above</w:t>
      </w:r>
      <w:r w:rsidR="000F5B55" w:rsidRPr="000B46D7">
        <w:t>, essentially dropping all terms involving renters</w:t>
      </w:r>
      <w:r w:rsidR="00C10FA6" w:rsidRPr="000B46D7">
        <w:t xml:space="preserve">.  </w:t>
      </w:r>
      <w:r w:rsidR="005655C7" w:rsidRPr="000B46D7">
        <w:t>Specifica</w:t>
      </w:r>
      <w:r w:rsidRPr="000B46D7">
        <w:t>lly, we estimate</w:t>
      </w:r>
      <w:r w:rsidR="00A9446C" w:rsidRPr="000B46D7">
        <w:t xml:space="preserve"> </w:t>
      </w:r>
      <w:r w:rsidR="005655C7" w:rsidRPr="000B46D7">
        <w:t xml:space="preserve">the </w:t>
      </w:r>
      <w:r w:rsidR="006D3BBD" w:rsidRPr="000B46D7">
        <w:t xml:space="preserve">logged </w:t>
      </w:r>
      <w:r w:rsidR="005655C7" w:rsidRPr="000B46D7">
        <w:t xml:space="preserve">mean aggregate value </w:t>
      </w:r>
      <w:r w:rsidR="005655C7" w:rsidRPr="000B46D7">
        <w:rPr>
          <w:rFonts w:eastAsia="Times New Roman"/>
          <w:shd w:val="clear" w:color="auto" w:fill="FFFFFF"/>
        </w:rPr>
        <w:t xml:space="preserve">households of demographic type </w:t>
      </w:r>
      <w:r w:rsidR="005655C7" w:rsidRPr="000B46D7">
        <w:rPr>
          <w:rFonts w:eastAsia="Times New Roman"/>
          <w:i/>
          <w:shd w:val="clear" w:color="auto" w:fill="FFFFFF"/>
        </w:rPr>
        <w:t xml:space="preserve">i, </w:t>
      </w:r>
      <m:oMath>
        <m:r>
          <w:rPr>
            <w:rFonts w:ascii="Cambria Math" w:eastAsia="Times New Roman" w:hAnsi="Cambria Math"/>
            <w:shd w:val="clear" w:color="auto" w:fill="FFFFFF"/>
          </w:rPr>
          <m:t>i∈</m:t>
        </m:r>
        <m:d>
          <m:dPr>
            <m:begChr m:val="{"/>
            <m:endChr m:val="}"/>
            <m:ctrlPr>
              <w:rPr>
                <w:rFonts w:ascii="Cambria Math" w:eastAsia="Times New Roman" w:hAnsi="Cambria Math"/>
                <w:i/>
                <w:shd w:val="clear" w:color="auto" w:fill="FFFFFF"/>
              </w:rPr>
            </m:ctrlPr>
          </m:dPr>
          <m:e>
            <m:r>
              <w:rPr>
                <w:rFonts w:ascii="Cambria Math" w:eastAsia="Times New Roman" w:hAnsi="Cambria Math"/>
                <w:shd w:val="clear" w:color="auto" w:fill="FFFFFF"/>
              </w:rPr>
              <m:t>Young, Older</m:t>
            </m:r>
          </m:e>
        </m:d>
      </m:oMath>
      <w:r w:rsidR="005655C7" w:rsidRPr="000B46D7">
        <w:rPr>
          <w:rFonts w:eastAsia="Times New Roman"/>
          <w:i/>
          <w:shd w:val="clear" w:color="auto" w:fill="FFFFFF"/>
        </w:rPr>
        <w:t xml:space="preserve">, </w:t>
      </w:r>
      <w:r w:rsidR="005655C7" w:rsidRPr="000B46D7">
        <w:rPr>
          <w:rFonts w:eastAsia="Times New Roman"/>
          <w:shd w:val="clear" w:color="auto" w:fill="FFFFFF"/>
        </w:rPr>
        <w:t xml:space="preserve">living in jurisdiction </w:t>
      </w:r>
      <w:r w:rsidR="005655C7" w:rsidRPr="000B46D7">
        <w:rPr>
          <w:rFonts w:eastAsia="Times New Roman"/>
          <w:i/>
          <w:shd w:val="clear" w:color="auto" w:fill="FFFFFF"/>
        </w:rPr>
        <w:t>j</w:t>
      </w:r>
      <w:r w:rsidR="005655C7" w:rsidRPr="000B46D7">
        <w:rPr>
          <w:rFonts w:eastAsia="Times New Roman"/>
          <w:shd w:val="clear" w:color="auto" w:fill="FFFFFF"/>
        </w:rPr>
        <w:t xml:space="preserve"> at time </w:t>
      </w:r>
      <w:r w:rsidR="005655C7" w:rsidRPr="000B46D7">
        <w:rPr>
          <w:rFonts w:eastAsia="Times New Roman"/>
          <w:i/>
          <w:shd w:val="clear" w:color="auto" w:fill="FFFFFF"/>
        </w:rPr>
        <w:t>t</w:t>
      </w:r>
      <w:r w:rsidR="005655C7" w:rsidRPr="000B46D7">
        <w:rPr>
          <w:rFonts w:eastAsia="Times New Roman"/>
          <w:shd w:val="clear" w:color="auto" w:fill="FFFFFF"/>
        </w:rPr>
        <w:t xml:space="preserve">, </w:t>
      </w:r>
      <m:oMath>
        <m:sSub>
          <m:sSubPr>
            <m:ctrlPr>
              <w:rPr>
                <w:rFonts w:ascii="Cambria Math" w:hAnsi="Cambria Math"/>
                <w:i/>
              </w:rPr>
            </m:ctrlPr>
          </m:sSubPr>
          <m:e>
            <m:r>
              <w:rPr>
                <w:rFonts w:ascii="Cambria Math" w:hAnsi="Cambria Math"/>
              </w:rPr>
              <m:t>y</m:t>
            </m:r>
          </m:e>
          <m:sub>
            <m:r>
              <w:rPr>
                <w:rFonts w:ascii="Cambria Math" w:hAnsi="Cambria Math"/>
              </w:rPr>
              <m:t>ijt</m:t>
            </m:r>
          </m:sub>
        </m:sSub>
      </m:oMath>
      <w:r w:rsidR="005655C7" w:rsidRPr="000B46D7">
        <w:rPr>
          <w:rFonts w:eastAsia="Times New Roman"/>
          <w:shd w:val="clear" w:color="auto" w:fill="FFFFFF"/>
        </w:rPr>
        <w:t xml:space="preserve">, by: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080"/>
        <w:gridCol w:w="7380"/>
      </w:tblGrid>
      <w:tr w:rsidR="00D02EE8" w:rsidRPr="00EC1447" w14:paraId="18688C03" w14:textId="77777777" w:rsidTr="00E26EA4">
        <w:tc>
          <w:tcPr>
            <w:tcW w:w="900" w:type="dxa"/>
          </w:tcPr>
          <w:p w14:paraId="6C2E92DE" w14:textId="77777777" w:rsidR="00D02EE8" w:rsidRPr="000B46D7" w:rsidRDefault="00D02EE8" w:rsidP="00E26EA4">
            <w:pPr>
              <w:pStyle w:val="Ourbodytext"/>
              <w:widowControl w:val="0"/>
              <w:ind w:firstLine="0"/>
              <w:jc w:val="both"/>
            </w:pPr>
            <w:r w:rsidRPr="000B46D7">
              <w:t>(2)</w:t>
            </w:r>
          </w:p>
        </w:tc>
        <w:tc>
          <w:tcPr>
            <w:tcW w:w="1080" w:type="dxa"/>
          </w:tcPr>
          <w:p w14:paraId="51C54556" w14:textId="77777777" w:rsidR="00D02EE8" w:rsidRPr="00752B6F" w:rsidRDefault="00CA1404" w:rsidP="00E26EA4">
            <w:pPr>
              <w:pStyle w:val="Ourbodytext"/>
              <w:widowControl w:val="0"/>
              <w:ind w:firstLine="0"/>
              <w:jc w:val="both"/>
            </w:pPr>
            <m:oMathPara>
              <m:oMathParaPr>
                <m:jc m:val="right"/>
              </m:oMathParaP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ijt</m:t>
                        </m:r>
                      </m:sub>
                    </m:sSub>
                  </m:e>
                </m:func>
                <m:r>
                  <w:rPr>
                    <w:rFonts w:ascii="Cambria Math" w:hAnsi="Cambria Math"/>
                  </w:rPr>
                  <m:t>=</m:t>
                </m:r>
              </m:oMath>
            </m:oMathPara>
          </w:p>
        </w:tc>
        <w:tc>
          <w:tcPr>
            <w:tcW w:w="7380" w:type="dxa"/>
          </w:tcPr>
          <w:p w14:paraId="1801CED5" w14:textId="77777777" w:rsidR="00D02EE8" w:rsidRPr="00EC1447" w:rsidRDefault="00CA1404" w:rsidP="00E26EA4">
            <w:pPr>
              <w:pStyle w:val="Ourbodytext"/>
              <w:widowControl w:val="0"/>
              <w:ind w:firstLine="0"/>
              <w:jc w:val="both"/>
            </w:pPr>
            <m:oMathPara>
              <m:oMathParaPr>
                <m:jc m:val="left"/>
              </m:oMathParaPr>
              <m:oMath>
                <m:sSub>
                  <m:sSubPr>
                    <m:ctrlPr>
                      <w:rPr>
                        <w:rFonts w:ascii="Cambria Math" w:hAnsi="Cambria Math"/>
                        <w:i/>
                      </w:rPr>
                    </m:ctrlPr>
                  </m:sSubPr>
                  <m:e>
                    <m:r>
                      <w:rPr>
                        <w:rFonts w:ascii="Cambria Math" w:hAnsi="Cambria Math"/>
                      </w:rPr>
                      <m:t>π</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1</m:t>
                    </m:r>
                  </m:sub>
                </m:sSub>
                <m:sSub>
                  <m:sSubPr>
                    <m:ctrlPr>
                      <w:rPr>
                        <w:rFonts w:ascii="Cambria Math" w:hAnsi="Cambria Math"/>
                        <w:i/>
                      </w:rPr>
                    </m:ctrlPr>
                  </m:sSubPr>
                  <m:e>
                    <m:r>
                      <w:rPr>
                        <w:rFonts w:ascii="Cambria Math" w:hAnsi="Cambria Math"/>
                      </w:rPr>
                      <m:t>1</m:t>
                    </m:r>
                    <m:d>
                      <m:dPr>
                        <m:ctrlPr>
                          <w:rPr>
                            <w:rFonts w:ascii="Cambria Math" w:hAnsi="Cambria Math"/>
                            <w:i/>
                          </w:rPr>
                        </m:ctrlPr>
                      </m:dPr>
                      <m:e>
                        <m:r>
                          <w:rPr>
                            <w:rFonts w:ascii="Cambria Math" w:hAnsi="Cambria Math"/>
                          </w:rPr>
                          <m:t>Older</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2</m:t>
                    </m:r>
                  </m:sub>
                </m:sSub>
                <m:sSub>
                  <m:sSubPr>
                    <m:ctrlPr>
                      <w:rPr>
                        <w:rFonts w:ascii="Cambria Math" w:hAnsi="Cambria Math"/>
                        <w:i/>
                      </w:rPr>
                    </m:ctrlPr>
                  </m:sSubPr>
                  <m:e>
                    <m:r>
                      <w:rPr>
                        <w:rFonts w:ascii="Cambria Math" w:hAnsi="Cambria Math"/>
                      </w:rPr>
                      <m:t>Treatment</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3</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Older</m:t>
                            </m:r>
                          </m:e>
                        </m:d>
                        <m:r>
                          <w:rPr>
                            <w:rFonts w:ascii="Cambria Math" w:hAnsi="Cambria Math"/>
                          </w:rPr>
                          <m:t>×Treatment</m:t>
                        </m:r>
                      </m:e>
                    </m:d>
                  </m:e>
                  <m:sub>
                    <m:r>
                      <w:rPr>
                        <w:rFonts w:ascii="Cambria Math" w:hAnsi="Cambria Math"/>
                      </w:rPr>
                      <m:t>ijt</m:t>
                    </m:r>
                  </m:sub>
                </m:sSub>
                <m:r>
                  <w:rPr>
                    <w:rFonts w:ascii="Cambria Math" w:hAnsi="Cambria Math"/>
                  </w:rPr>
                  <m:t xml:space="preserve"> </m:t>
                </m:r>
                <m:r>
                  <m:rPr>
                    <m:brk/>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r>
                  <w:rPr>
                    <w:rFonts w:ascii="Cambria Math" w:hAnsi="Cambria Math"/>
                  </w:rPr>
                  <m:t>.</m:t>
                </m:r>
              </m:oMath>
            </m:oMathPara>
          </w:p>
        </w:tc>
      </w:tr>
    </w:tbl>
    <w:p w14:paraId="7A6B9A59" w14:textId="42F7857F" w:rsidR="00206978" w:rsidRPr="000B46D7" w:rsidRDefault="00206978" w:rsidP="000B46D7">
      <w:pPr>
        <w:widowControl w:val="0"/>
        <w:spacing w:before="120" w:after="120" w:line="360" w:lineRule="auto"/>
        <w:ind w:firstLine="720"/>
        <w:jc w:val="both"/>
        <w:rPr>
          <w:rFonts w:eastAsiaTheme="minorEastAsia"/>
        </w:rPr>
      </w:pPr>
      <w:r w:rsidRPr="000B46D7">
        <w:rPr>
          <w:rFonts w:eastAsiaTheme="minorEastAsia"/>
        </w:rPr>
        <w:t xml:space="preserve">Our parameter of interest is </w:t>
      </w:r>
      <m:oMath>
        <m:sSub>
          <m:sSubPr>
            <m:ctrlPr>
              <w:rPr>
                <w:rFonts w:ascii="Cambria Math" w:hAnsi="Cambria Math"/>
                <w:i/>
              </w:rPr>
            </m:ctrlPr>
          </m:sSubPr>
          <m:e>
            <m:r>
              <w:rPr>
                <w:rFonts w:ascii="Cambria Math" w:hAnsi="Cambria Math"/>
              </w:rPr>
              <m:t>π</m:t>
            </m:r>
          </m:e>
          <m:sub>
            <m:r>
              <w:rPr>
                <w:rFonts w:ascii="Cambria Math" w:hAnsi="Cambria Math"/>
              </w:rPr>
              <m:t>3</m:t>
            </m:r>
          </m:sub>
        </m:sSub>
      </m:oMath>
      <w:r w:rsidR="000F5B55" w:rsidRPr="000B46D7">
        <w:rPr>
          <w:rFonts w:eastAsiaTheme="minorEastAsia"/>
        </w:rPr>
        <w:t>,</w:t>
      </w:r>
      <w:r w:rsidRPr="000B46D7">
        <w:rPr>
          <w:rFonts w:eastAsiaTheme="minorEastAsia"/>
        </w:rPr>
        <w:t xml:space="preserve"> the </w:t>
      </w:r>
      <w:r w:rsidR="00F12235" w:rsidRPr="000B46D7">
        <w:rPr>
          <w:rFonts w:eastAsiaTheme="minorEastAsia"/>
        </w:rPr>
        <w:t xml:space="preserve">difference in the mean home value of older households after the implementation of age-based property tax exemptions compared to the difference in mean home values for young households in treated counties </w:t>
      </w:r>
      <w:r w:rsidR="00D81D59" w:rsidRPr="000B46D7">
        <w:rPr>
          <w:rFonts w:eastAsiaTheme="minorEastAsia"/>
        </w:rPr>
        <w:t>relative to this difference in untreated counties</w:t>
      </w:r>
      <w:r w:rsidR="00C10FA6" w:rsidRPr="000B46D7">
        <w:rPr>
          <w:rFonts w:eastAsiaTheme="minorEastAsia"/>
        </w:rPr>
        <w:t xml:space="preserve">.  </w:t>
      </w:r>
      <w:r w:rsidR="00E604A8" w:rsidRPr="000B46D7">
        <w:rPr>
          <w:rFonts w:eastAsiaTheme="minorEastAsia"/>
        </w:rPr>
        <w:t xml:space="preserve">We can interpret </w:t>
      </w:r>
      <m:oMath>
        <m:sSub>
          <m:sSubPr>
            <m:ctrlPr>
              <w:rPr>
                <w:rFonts w:ascii="Cambria Math" w:hAnsi="Cambria Math"/>
                <w:i/>
              </w:rPr>
            </m:ctrlPr>
          </m:sSubPr>
          <m:e>
            <m:r>
              <w:rPr>
                <w:rFonts w:ascii="Cambria Math" w:hAnsi="Cambria Math"/>
              </w:rPr>
              <m:t>π</m:t>
            </m:r>
          </m:e>
          <m:sub>
            <m:r>
              <w:rPr>
                <w:rFonts w:ascii="Cambria Math" w:hAnsi="Cambria Math"/>
              </w:rPr>
              <m:t>3</m:t>
            </m:r>
          </m:sub>
        </m:sSub>
      </m:oMath>
      <w:r w:rsidR="00A9446C" w:rsidRPr="000B46D7">
        <w:rPr>
          <w:rFonts w:eastAsiaTheme="minorEastAsia"/>
        </w:rPr>
        <w:t xml:space="preserve"> </w:t>
      </w:r>
      <w:r w:rsidR="00E604A8" w:rsidRPr="000B46D7">
        <w:rPr>
          <w:rFonts w:eastAsiaTheme="minorEastAsia"/>
        </w:rPr>
        <w:t>as the causal effect of the policy on older homeowners</w:t>
      </w:r>
      <w:r w:rsidR="005500B0" w:rsidRPr="000B46D7">
        <w:rPr>
          <w:rFonts w:eastAsiaTheme="minorEastAsia"/>
        </w:rPr>
        <w:t>'</w:t>
      </w:r>
      <w:r w:rsidR="00E604A8" w:rsidRPr="000B46D7">
        <w:rPr>
          <w:rFonts w:eastAsiaTheme="minorEastAsia"/>
        </w:rPr>
        <w:t xml:space="preserve"> housing consumption in treated counties </w:t>
      </w:r>
      <w:r w:rsidR="002F4BED" w:rsidRPr="000B46D7">
        <w:rPr>
          <w:rFonts w:eastAsiaTheme="minorEastAsia"/>
        </w:rPr>
        <w:t xml:space="preserve">under the assumption that any </w:t>
      </w:r>
      <w:r w:rsidR="00805612" w:rsidRPr="000B46D7">
        <w:rPr>
          <w:rFonts w:eastAsiaTheme="minorEastAsia"/>
        </w:rPr>
        <w:t xml:space="preserve">unobserved </w:t>
      </w:r>
      <w:r w:rsidR="002F4BED" w:rsidRPr="000B46D7">
        <w:rPr>
          <w:rFonts w:eastAsiaTheme="minorEastAsia"/>
        </w:rPr>
        <w:t>changes in treated county home values either caused by or coincident to the exemption do not differentially affect homeowners on the basis of age</w:t>
      </w:r>
      <w:r w:rsidR="00C10FA6" w:rsidRPr="000B46D7">
        <w:rPr>
          <w:rFonts w:eastAsiaTheme="minorEastAsia"/>
        </w:rPr>
        <w:t xml:space="preserve">.  </w:t>
      </w:r>
      <w:r w:rsidR="00805612" w:rsidRPr="000B46D7">
        <w:rPr>
          <w:rFonts w:eastAsiaTheme="minorEastAsia"/>
        </w:rPr>
        <w:t xml:space="preserve">Furthermore, if older homeowners and younger homeowners in the same county are participating in the same housing market, then we can interpret </w:t>
      </w:r>
      <m:oMath>
        <m:sSub>
          <m:sSubPr>
            <m:ctrlPr>
              <w:rPr>
                <w:rFonts w:ascii="Cambria Math" w:hAnsi="Cambria Math"/>
                <w:i/>
              </w:rPr>
            </m:ctrlPr>
          </m:sSubPr>
          <m:e>
            <m:r>
              <w:rPr>
                <w:rFonts w:ascii="Cambria Math" w:hAnsi="Cambria Math"/>
              </w:rPr>
              <m:t>π</m:t>
            </m:r>
          </m:e>
          <m:sub>
            <m:r>
              <w:rPr>
                <w:rFonts w:ascii="Cambria Math" w:hAnsi="Cambria Math"/>
              </w:rPr>
              <m:t>3</m:t>
            </m:r>
          </m:sub>
        </m:sSub>
      </m:oMath>
      <w:r w:rsidR="00805612" w:rsidRPr="000B46D7">
        <w:rPr>
          <w:rFonts w:eastAsiaTheme="minorEastAsia"/>
        </w:rPr>
        <w:t xml:space="preserve"> as the effect of increased housing consumption (i.e. an effect on the quantity of housing demanded), rather than a price effect.</w:t>
      </w:r>
      <w:r w:rsidR="00D2785B" w:rsidRPr="000B46D7">
        <w:rPr>
          <w:rFonts w:eastAsiaTheme="minorEastAsia"/>
        </w:rPr>
        <w:t xml:space="preserve">  (Note however, that we cannot rule out the possibility that any increase comes from the selection of a changing set of older households, due to the older homeowner effect.)</w:t>
      </w:r>
    </w:p>
    <w:p w14:paraId="6408FA32" w14:textId="117FF117" w:rsidR="00025867" w:rsidRPr="000B46D7" w:rsidRDefault="00805612" w:rsidP="000B46D7">
      <w:pPr>
        <w:widowControl w:val="0"/>
        <w:spacing w:before="120" w:after="120" w:line="360" w:lineRule="auto"/>
        <w:ind w:firstLine="720"/>
        <w:jc w:val="both"/>
      </w:pPr>
      <w:r w:rsidRPr="000B46D7">
        <w:rPr>
          <w:rFonts w:eastAsiaTheme="minorEastAsia"/>
        </w:rPr>
        <w:t>Again, w</w:t>
      </w:r>
      <w:r w:rsidR="00025867" w:rsidRPr="000B46D7">
        <w:rPr>
          <w:rFonts w:eastAsiaTheme="minorEastAsia"/>
        </w:rPr>
        <w:t xml:space="preserve">e also present estimates that control for potentially heterogeneous effects in each county and decade by replacing </w:t>
      </w:r>
      <w:r w:rsidR="00025867" w:rsidRPr="000B46D7">
        <w:t>the county and decade fixed effects with exemption-year and exemption-county interactions</w:t>
      </w:r>
      <w:r w:rsidR="00C10FA6" w:rsidRPr="000B46D7">
        <w:t xml:space="preserve">.  </w:t>
      </w:r>
      <w:r w:rsidR="00025867" w:rsidRPr="000B46D7">
        <w:t>We also present results from a specification that add exemption-</w:t>
      </w:r>
      <w:r w:rsidR="00025867" w:rsidRPr="000B46D7">
        <w:lastRenderedPageBreak/>
        <w:t xml:space="preserve">year, exemption-county, county-age, </w:t>
      </w:r>
      <w:r w:rsidR="000F5B55" w:rsidRPr="000B46D7">
        <w:t xml:space="preserve">year-age, </w:t>
      </w:r>
      <w:r w:rsidR="00025867" w:rsidRPr="000B46D7">
        <w:t>and year-urban status interactions to control for potentially heterogeneous effects of the law in a particular county or decade as well as county-level age trends and any rural-urban migration tendencies by age group in a particular decade.</w:t>
      </w:r>
      <w:r w:rsidRPr="000B46D7">
        <w:t xml:space="preserve">  Finally, we consider percentage changes in housing value as the dependent variable, again essentially controlling for county-by-age time trends in housing consumption.</w:t>
      </w:r>
    </w:p>
    <w:p w14:paraId="06A888B8" w14:textId="657F1E05" w:rsidR="00132BF0" w:rsidRPr="000B46D7" w:rsidRDefault="00132BF0" w:rsidP="000B46D7">
      <w:pPr>
        <w:pStyle w:val="OurHeading2"/>
        <w:widowControl w:val="0"/>
        <w:jc w:val="both"/>
      </w:pPr>
      <w:r w:rsidRPr="000B46D7">
        <w:t>2.3  A Structural Model</w:t>
      </w:r>
    </w:p>
    <w:p w14:paraId="4C70C318" w14:textId="58AF8FC4" w:rsidR="00132BF0" w:rsidRDefault="00771A49" w:rsidP="000B46D7">
      <w:pPr>
        <w:widowControl w:val="0"/>
        <w:spacing w:before="120" w:after="120" w:line="360" w:lineRule="auto"/>
        <w:ind w:firstLine="720"/>
        <w:jc w:val="both"/>
        <w:rPr>
          <w:rFonts w:eastAsiaTheme="minorEastAsia"/>
        </w:rPr>
      </w:pPr>
      <w:r>
        <w:rPr>
          <w:rFonts w:eastAsiaTheme="minorEastAsia"/>
        </w:rPr>
        <w:t>The</w:t>
      </w:r>
      <w:r w:rsidR="00132BF0" w:rsidRPr="000B46D7">
        <w:rPr>
          <w:rFonts w:eastAsiaTheme="minorEastAsia"/>
        </w:rPr>
        <w:t xml:space="preserve"> strategy outlined in Sections</w:t>
      </w:r>
      <w:r>
        <w:rPr>
          <w:rFonts w:eastAsiaTheme="minorEastAsia"/>
        </w:rPr>
        <w:t> </w:t>
      </w:r>
      <w:r w:rsidR="00132BF0" w:rsidRPr="000B46D7">
        <w:rPr>
          <w:rFonts w:eastAsiaTheme="minorEastAsia"/>
        </w:rPr>
        <w:t xml:space="preserve">2.1 and 2.2 is useful for determining a causal effect of the tax policies on populations.  However, both because of the differencing strategy and because it does not explicitly model substitution patterns, the causal strategy is less useful for predicting the actual effects of tax policies on local populations.  To overcome this problem, we add more structure, modeling people's choices using a simple sorting model (e.g. Kuminoff, Smith, and Timmins 2013).  </w:t>
      </w:r>
      <w:r w:rsidR="007D0C35" w:rsidRPr="000B46D7">
        <w:rPr>
          <w:rFonts w:eastAsiaTheme="minorEastAsia"/>
        </w:rPr>
        <w:t xml:space="preserve">Allowing for heterogeneity by age, we assume each household chooses tenure </w:t>
      </w:r>
      <w:r w:rsidR="000449A2">
        <w:rPr>
          <w:rFonts w:eastAsiaTheme="minorEastAsia"/>
        </w:rPr>
        <w:t xml:space="preserve">τ </w:t>
      </w:r>
      <w:r w:rsidR="007D0C35" w:rsidRPr="000B46D7">
        <w:rPr>
          <w:rFonts w:eastAsiaTheme="minorEastAsia"/>
        </w:rPr>
        <w:t xml:space="preserve">and location </w:t>
      </w:r>
      <w:r w:rsidR="000449A2">
        <w:rPr>
          <w:rFonts w:eastAsiaTheme="minorEastAsia"/>
          <w:i/>
        </w:rPr>
        <w:t>j</w:t>
      </w:r>
      <w:r w:rsidR="000449A2">
        <w:rPr>
          <w:rFonts w:eastAsiaTheme="minorEastAsia"/>
        </w:rPr>
        <w:t xml:space="preserve"> </w:t>
      </w:r>
      <w:r w:rsidR="007D0C35" w:rsidRPr="000B46D7">
        <w:rPr>
          <w:rFonts w:eastAsiaTheme="minorEastAsia"/>
        </w:rPr>
        <w:t>(2x</w:t>
      </w:r>
      <w:r w:rsidR="007D0C35" w:rsidRPr="00771A49">
        <w:rPr>
          <w:rFonts w:eastAsiaTheme="minorEastAsia"/>
          <w:i/>
        </w:rPr>
        <w:t>J</w:t>
      </w:r>
      <w:r w:rsidR="007D0C35" w:rsidRPr="000B46D7">
        <w:rPr>
          <w:rFonts w:eastAsiaTheme="minorEastAsia"/>
        </w:rPr>
        <w:t xml:space="preserve"> choice alternatives) based on its utility.  </w:t>
      </w:r>
      <w:r w:rsidR="00132BF0" w:rsidRPr="000B46D7">
        <w:rPr>
          <w:rFonts w:eastAsiaTheme="minorEastAsia"/>
        </w:rPr>
        <w:t xml:space="preserve">In particular, we assume </w:t>
      </w:r>
      <w:r w:rsidR="007D0C35" w:rsidRPr="000B46D7">
        <w:rPr>
          <w:rFonts w:eastAsiaTheme="minorEastAsia"/>
        </w:rPr>
        <w:t xml:space="preserve">choices are </w:t>
      </w:r>
      <w:r w:rsidR="00132BF0" w:rsidRPr="000B46D7">
        <w:rPr>
          <w:rFonts w:eastAsiaTheme="minorEastAsia"/>
        </w:rPr>
        <w:t>based on the following random utility model:</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080"/>
        <w:gridCol w:w="7740"/>
      </w:tblGrid>
      <w:tr w:rsidR="00493E42" w:rsidRPr="00D62639" w14:paraId="6FA14ACF" w14:textId="77777777" w:rsidTr="00E26EA4">
        <w:tc>
          <w:tcPr>
            <w:tcW w:w="900" w:type="dxa"/>
          </w:tcPr>
          <w:p w14:paraId="16FE3D67" w14:textId="77777777" w:rsidR="00493E42" w:rsidRPr="000B46D7" w:rsidRDefault="00493E42" w:rsidP="00E26EA4">
            <w:pPr>
              <w:pStyle w:val="Ourbodytext"/>
              <w:widowControl w:val="0"/>
              <w:ind w:firstLine="0"/>
              <w:jc w:val="both"/>
            </w:pPr>
            <w:r w:rsidRPr="000B46D7">
              <w:t>(</w:t>
            </w:r>
            <w:r>
              <w:t>3</w:t>
            </w:r>
            <w:r w:rsidRPr="000B46D7">
              <w:t>)</w:t>
            </w:r>
          </w:p>
        </w:tc>
        <w:tc>
          <w:tcPr>
            <w:tcW w:w="1080" w:type="dxa"/>
          </w:tcPr>
          <w:p w14:paraId="32864394" w14:textId="77777777" w:rsidR="00493E42" w:rsidRPr="00752B6F" w:rsidRDefault="00CA1404" w:rsidP="00E26EA4">
            <w:pPr>
              <w:pStyle w:val="Ourbodytext"/>
              <w:widowControl w:val="0"/>
              <w:ind w:firstLine="0"/>
              <w:jc w:val="both"/>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ij</m:t>
                    </m:r>
                    <m:r>
                      <m:rPr>
                        <m:sty m:val="p"/>
                      </m:rPr>
                      <w:rPr>
                        <w:rFonts w:ascii="Cambria Math" w:eastAsiaTheme="minorEastAsia" w:hAnsi="Cambria Math"/>
                      </w:rPr>
                      <m:t>τ</m:t>
                    </m:r>
                    <m:r>
                      <w:rPr>
                        <w:rFonts w:ascii="Cambria Math" w:eastAsiaTheme="minorEastAsia" w:hAnsi="Cambria Math"/>
                      </w:rPr>
                      <m:t>t</m:t>
                    </m:r>
                  </m:sub>
                </m:sSub>
                <m:r>
                  <w:rPr>
                    <w:rFonts w:ascii="Cambria Math" w:hAnsi="Cambria Math"/>
                  </w:rPr>
                  <m:t>=</m:t>
                </m:r>
              </m:oMath>
            </m:oMathPara>
          </w:p>
        </w:tc>
        <w:tc>
          <w:tcPr>
            <w:tcW w:w="7740" w:type="dxa"/>
          </w:tcPr>
          <w:p w14:paraId="63DB5037" w14:textId="77777777" w:rsidR="00493E42" w:rsidRPr="00D62639" w:rsidRDefault="00CA1404" w:rsidP="00E26EA4">
            <w:pPr>
              <w:widowControl w:val="0"/>
              <w:spacing w:before="120" w:after="120" w:line="360" w:lineRule="auto"/>
              <w:ind w:left="-15"/>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Treatment</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Older</m:t>
                            </m:r>
                          </m:e>
                          <m:sub>
                            <m:r>
                              <w:rPr>
                                <w:rFonts w:ascii="Cambria Math" w:eastAsiaTheme="minorEastAsia" w:hAnsi="Cambria Math"/>
                              </w:rPr>
                              <m:t>i</m:t>
                            </m:r>
                          </m:sub>
                        </m:sSub>
                      </m:e>
                    </m:d>
                    <m:r>
                      <w:rPr>
                        <w:rFonts w:ascii="Cambria Math" w:hAnsi="Cambria Math"/>
                      </w:rPr>
                      <m:t>×</m:t>
                    </m:r>
                    <m:sSub>
                      <m:sSubPr>
                        <m:ctrlPr>
                          <w:rPr>
                            <w:rFonts w:ascii="Cambria Math" w:hAnsi="Cambria Math"/>
                            <w:i/>
                          </w:rPr>
                        </m:ctrlPr>
                      </m:sSubPr>
                      <m:e>
                        <m:r>
                          <w:rPr>
                            <w:rFonts w:ascii="Cambria Math" w:hAnsi="Cambria Math"/>
                          </w:rPr>
                          <m:t>Treatment</m:t>
                        </m:r>
                      </m:e>
                      <m:sub>
                        <m:r>
                          <w:rPr>
                            <w:rFonts w:ascii="Cambria Math" w:hAnsi="Cambria Math"/>
                          </w:rPr>
                          <m:t>jt</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Own</m:t>
                    </m:r>
                  </m:e>
                  <m:sub>
                    <m:r>
                      <m:rPr>
                        <m:sty m:val="p"/>
                      </m:rPr>
                      <w:rPr>
                        <w:rFonts w:ascii="Cambria Math" w:eastAsiaTheme="minorEastAsia" w:hAnsi="Cambria Math"/>
                      </w:rPr>
                      <m:t>τ</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Older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Own</m:t>
                        </m:r>
                      </m:e>
                      <m:sub>
                        <m:r>
                          <m:rPr>
                            <m:sty m:val="p"/>
                          </m:rPr>
                          <w:rPr>
                            <w:rFonts w:ascii="Cambria Math" w:eastAsiaTheme="minorEastAsia" w:hAnsi="Cambria Math"/>
                          </w:rPr>
                          <m:t>τ</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Own</m:t>
                            </m:r>
                          </m:e>
                          <m:sub>
                            <m:r>
                              <m:rPr>
                                <m:sty m:val="p"/>
                              </m:rPr>
                              <w:rPr>
                                <w:rFonts w:ascii="Cambria Math" w:eastAsiaTheme="minorEastAsia" w:hAnsi="Cambria Math"/>
                              </w:rPr>
                              <m:t>τ</m:t>
                            </m:r>
                          </m:sub>
                        </m:sSub>
                      </m:e>
                    </m:d>
                    <m:r>
                      <w:rPr>
                        <w:rFonts w:ascii="Cambria Math" w:hAnsi="Cambria Math"/>
                      </w:rPr>
                      <m:t>×</m:t>
                    </m:r>
                    <m:sSub>
                      <m:sSubPr>
                        <m:ctrlPr>
                          <w:rPr>
                            <w:rFonts w:ascii="Cambria Math" w:hAnsi="Cambria Math"/>
                            <w:i/>
                          </w:rPr>
                        </m:ctrlPr>
                      </m:sSubPr>
                      <m:e>
                        <m:r>
                          <w:rPr>
                            <w:rFonts w:ascii="Cambria Math" w:hAnsi="Cambria Math"/>
                          </w:rPr>
                          <m:t>Treatment</m:t>
                        </m:r>
                      </m:e>
                      <m:sub>
                        <m:r>
                          <w:rPr>
                            <w:rFonts w:ascii="Cambria Math" w:hAnsi="Cambria Math"/>
                          </w:rPr>
                          <m:t>jt</m:t>
                        </m:r>
                      </m:sub>
                    </m:sSub>
                  </m:e>
                </m:d>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Older</m:t>
                            </m:r>
                          </m:e>
                          <m:sub>
                            <m:r>
                              <w:rPr>
                                <w:rFonts w:ascii="Cambria Math" w:hAnsi="Cambria Math"/>
                              </w:rPr>
                              <m:t>i</m:t>
                            </m:r>
                          </m:sub>
                        </m:sSub>
                      </m:e>
                    </m:d>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Own</m:t>
                            </m:r>
                          </m:e>
                          <m:sub>
                            <m:r>
                              <m:rPr>
                                <m:sty m:val="p"/>
                              </m:rPr>
                              <w:rPr>
                                <w:rFonts w:ascii="Cambria Math" w:eastAsiaTheme="minorEastAsia" w:hAnsi="Cambria Math"/>
                              </w:rPr>
                              <m:t>τ</m:t>
                            </m:r>
                          </m:sub>
                        </m:sSub>
                      </m:e>
                    </m:d>
                    <m:r>
                      <w:rPr>
                        <w:rFonts w:ascii="Cambria Math" w:hAnsi="Cambria Math"/>
                      </w:rPr>
                      <m:t>×</m:t>
                    </m:r>
                    <m:sSub>
                      <m:sSubPr>
                        <m:ctrlPr>
                          <w:rPr>
                            <w:rFonts w:ascii="Cambria Math" w:hAnsi="Cambria Math"/>
                            <w:i/>
                          </w:rPr>
                        </m:ctrlPr>
                      </m:sSubPr>
                      <m:e>
                        <m:r>
                          <w:rPr>
                            <w:rFonts w:ascii="Cambria Math" w:hAnsi="Cambria Math"/>
                          </w:rPr>
                          <m:t>Treatment</m:t>
                        </m:r>
                      </m:e>
                      <m:sub>
                        <m:r>
                          <w:rPr>
                            <w:rFonts w:ascii="Cambria Math" w:hAnsi="Cambria Math"/>
                          </w:rPr>
                          <m:t>jt</m:t>
                        </m:r>
                      </m:sub>
                    </m:sSub>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j</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7t</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Older</m:t>
                            </m:r>
                          </m:e>
                          <m:sub>
                            <m:r>
                              <w:rPr>
                                <w:rFonts w:ascii="Cambria Math" w:hAnsi="Cambria Math"/>
                              </w:rPr>
                              <m:t>i</m:t>
                            </m:r>
                          </m:sub>
                        </m:sSub>
                      </m:e>
                    </m:d>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Urban</m:t>
                            </m:r>
                          </m:e>
                          <m:sub>
                            <m:r>
                              <w:rPr>
                                <w:rFonts w:ascii="Cambria Math" w:hAnsi="Cambria Math"/>
                              </w:rPr>
                              <m:t>j</m:t>
                            </m:r>
                          </m:sub>
                        </m:sSub>
                      </m:e>
                    </m:d>
                  </m:e>
                </m:d>
                <m:r>
                  <w:rPr>
                    <w:rFonts w:ascii="Cambria Math" w:hAnsi="Cambria Math"/>
                  </w:rPr>
                  <m:t>+</m:t>
                </m:r>
                <m:sSub>
                  <m:sSubPr>
                    <m:ctrlPr>
                      <w:rPr>
                        <w:rFonts w:ascii="Cambria Math" w:hAnsi="Cambria Math"/>
                        <w:i/>
                      </w:rPr>
                    </m:ctrlPr>
                  </m:sSubPr>
                  <m:e>
                    <m:r>
                      <w:rPr>
                        <w:rFonts w:ascii="Cambria Math" w:hAnsi="Cambria Math"/>
                      </w:rPr>
                      <m:t xml:space="preserve"> ε</m:t>
                    </m:r>
                  </m:e>
                  <m:sub>
                    <m:r>
                      <w:rPr>
                        <w:rFonts w:ascii="Cambria Math" w:hAnsi="Cambria Math"/>
                      </w:rPr>
                      <m:t>ijt</m:t>
                    </m:r>
                  </m:sub>
                </m:sSub>
                <m:r>
                  <w:rPr>
                    <w:rFonts w:ascii="Cambria Math" w:hAnsi="Cambria Math"/>
                  </w:rPr>
                  <m:t>.</m:t>
                </m:r>
              </m:oMath>
            </m:oMathPara>
          </w:p>
        </w:tc>
      </w:tr>
    </w:tbl>
    <w:p w14:paraId="5921A4D0" w14:textId="1DFC73A9" w:rsidR="000449A2" w:rsidRDefault="007D0C35" w:rsidP="00905192">
      <w:pPr>
        <w:pStyle w:val="Ourbodytext"/>
        <w:widowControl w:val="0"/>
        <w:ind w:firstLine="0"/>
        <w:jc w:val="both"/>
        <w:rPr>
          <w:rFonts w:eastAsiaTheme="minorEastAsia"/>
        </w:rPr>
      </w:pPr>
      <w:r w:rsidRPr="000B46D7">
        <w:rPr>
          <w:rFonts w:eastAsiaTheme="minorEastAsia"/>
        </w:rPr>
        <w:t xml:space="preserve">That is, </w:t>
      </w:r>
      <w:r w:rsidR="000449A2" w:rsidRPr="000B46D7">
        <w:rPr>
          <w:rFonts w:eastAsiaTheme="minorEastAsia"/>
        </w:rPr>
        <w:t>we assume people have utility</w:t>
      </w:r>
      <w:r w:rsidR="000449A2">
        <w:rPr>
          <w:rFonts w:eastAsiaTheme="minorEastAsia"/>
        </w:rPr>
        <w:t xml:space="preserve"> for a county/tenure pair</w:t>
      </w:r>
      <w:r w:rsidR="000449A2" w:rsidRPr="000B46D7">
        <w:rPr>
          <w:rFonts w:eastAsiaTheme="minorEastAsia"/>
        </w:rPr>
        <w:t xml:space="preserve"> that can be explained by the </w:t>
      </w:r>
      <w:r w:rsidR="000449A2">
        <w:rPr>
          <w:rFonts w:eastAsiaTheme="minorEastAsia"/>
        </w:rPr>
        <w:t xml:space="preserve">county's </w:t>
      </w:r>
      <w:r w:rsidR="000449A2" w:rsidRPr="000B46D7">
        <w:rPr>
          <w:rFonts w:eastAsiaTheme="minorEastAsia"/>
        </w:rPr>
        <w:t xml:space="preserve">treatment </w:t>
      </w:r>
      <w:r w:rsidR="000449A2">
        <w:rPr>
          <w:rFonts w:eastAsiaTheme="minorEastAsia"/>
        </w:rPr>
        <w:t xml:space="preserve">status (or factors correlated with the treatment), whether the choice alternative represents owning or renting, </w:t>
      </w:r>
      <w:r w:rsidR="00547180">
        <w:rPr>
          <w:rFonts w:eastAsiaTheme="minorEastAsia"/>
        </w:rPr>
        <w:t xml:space="preserve">an interaction for between treatment and owning, </w:t>
      </w:r>
      <w:r w:rsidR="000449A2">
        <w:rPr>
          <w:rFonts w:eastAsiaTheme="minorEastAsia"/>
        </w:rPr>
        <w:t>and a county fixed effect</w:t>
      </w:r>
      <w:r w:rsidR="00547180">
        <w:rPr>
          <w:rFonts w:eastAsiaTheme="minorEastAsia"/>
        </w:rPr>
        <w:t xml:space="preserve">.  We allow for heterogeneity in tastes for these factors by older/younger households, which we incorporate through interaction with an older dummy.  We are unable to estimate separate dummies by age, but do interact </w:t>
      </w:r>
      <w:r w:rsidR="00155712">
        <w:rPr>
          <w:rFonts w:eastAsiaTheme="minorEastAsia"/>
        </w:rPr>
        <w:t>tastes for an urban county by age, and allow these differential tastes for urban to vary over time.</w:t>
      </w:r>
    </w:p>
    <w:p w14:paraId="01DFFFC2" w14:textId="10F1491B" w:rsidR="00A95EA5" w:rsidRPr="000B46D7" w:rsidRDefault="00A95EA5" w:rsidP="004B6EDA">
      <w:pPr>
        <w:widowControl w:val="0"/>
        <w:spacing w:before="120" w:after="120" w:line="360" w:lineRule="auto"/>
        <w:jc w:val="both"/>
        <w:rPr>
          <w:rFonts w:eastAsiaTheme="minorEastAsia"/>
        </w:rPr>
      </w:pPr>
      <w:r w:rsidRPr="000B46D7">
        <w:rPr>
          <w:rFonts w:eastAsiaTheme="minorEastAsia"/>
        </w:rPr>
        <w:t xml:space="preserve"> </w:t>
      </w:r>
      <w:r w:rsidR="00A963EF">
        <w:rPr>
          <w:rFonts w:eastAsiaTheme="minorEastAsia"/>
        </w:rPr>
        <w:tab/>
      </w:r>
      <w:r w:rsidR="00155712">
        <w:rPr>
          <w:rFonts w:eastAsiaTheme="minorEastAsia"/>
        </w:rPr>
        <w:t>D</w:t>
      </w:r>
      <w:r w:rsidR="00E52C98" w:rsidRPr="000B46D7">
        <w:rPr>
          <w:rFonts w:eastAsiaTheme="minorEastAsia"/>
        </w:rPr>
        <w:t xml:space="preserve">ue to data limitations, we do not include housing prices.  However, these can be thought to be absorbed in the county dummies and in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E52C98" w:rsidRPr="000B46D7">
        <w:rPr>
          <w:rFonts w:eastAsiaTheme="minorEastAsia"/>
        </w:rPr>
        <w:t xml:space="preserve">.  As long as older and younger households face the same prices within a county, missing housing prices should not bias the estimates of </w:t>
      </w:r>
      <m:oMath>
        <m:sSub>
          <m:sSubPr>
            <m:ctrlPr>
              <w:rPr>
                <w:rFonts w:ascii="Cambria Math" w:hAnsi="Cambria Math"/>
                <w:i/>
              </w:rPr>
            </m:ctrlPr>
          </m:sSubPr>
          <m:e>
            <m:r>
              <w:rPr>
                <w:rFonts w:ascii="Cambria Math" w:hAnsi="Cambria Math"/>
              </w:rPr>
              <m:t>β</m:t>
            </m:r>
          </m:e>
          <m:sub>
            <m:r>
              <w:rPr>
                <w:rFonts w:ascii="Cambria Math" w:hAnsi="Cambria Math"/>
              </w:rPr>
              <m:t>6</m:t>
            </m:r>
          </m:sub>
        </m:sSub>
      </m:oMath>
      <w:r w:rsidR="00E52C98" w:rsidRPr="000B46D7">
        <w:rPr>
          <w:rFonts w:eastAsiaTheme="minorEastAsia"/>
        </w:rPr>
        <w:t>.</w:t>
      </w:r>
      <w:r w:rsidR="00A963EF">
        <w:rPr>
          <w:rFonts w:eastAsiaTheme="minorEastAsia"/>
        </w:rPr>
        <w:t xml:space="preserve"> </w:t>
      </w:r>
      <w:r w:rsidRPr="000B46D7">
        <w:rPr>
          <w:rFonts w:eastAsiaTheme="minorEastAsia"/>
        </w:rPr>
        <w:t xml:space="preserve">The </w:t>
      </w:r>
      <w:r w:rsidRPr="000B46D7">
        <w:rPr>
          <w:rFonts w:eastAsiaTheme="minorEastAsia"/>
        </w:rPr>
        <w:lastRenderedPageBreak/>
        <w:t>random component of utility is assumed to be distributed iid logit.  Thus, the model can be estimated using a conditional logit model.</w:t>
      </w:r>
    </w:p>
    <w:p w14:paraId="190FFD5C" w14:textId="5F5047D9" w:rsidR="00A623E6" w:rsidRPr="000B46D7" w:rsidRDefault="00A623E6" w:rsidP="000B46D7">
      <w:pPr>
        <w:pStyle w:val="OurHeading1"/>
        <w:widowControl w:val="0"/>
        <w:contextualSpacing w:val="0"/>
        <w:jc w:val="both"/>
      </w:pPr>
      <w:r w:rsidRPr="000B46D7">
        <w:t>Data</w:t>
      </w:r>
    </w:p>
    <w:p w14:paraId="336F0145" w14:textId="20621035" w:rsidR="008C52FD" w:rsidRPr="000B46D7" w:rsidRDefault="00805612" w:rsidP="000B46D7">
      <w:pPr>
        <w:pStyle w:val="Ourbodytext"/>
        <w:widowControl w:val="0"/>
        <w:ind w:firstLine="0"/>
        <w:jc w:val="both"/>
      </w:pPr>
      <w:r w:rsidRPr="000B46D7">
        <w:t>This section introduces the data used in our analysis, including the data we collected on local tax exemptions in Georgia.</w:t>
      </w:r>
    </w:p>
    <w:p w14:paraId="05DFC63E" w14:textId="4EF21CB4" w:rsidR="0055094D" w:rsidRPr="000B46D7" w:rsidRDefault="00285DDA" w:rsidP="000B46D7">
      <w:pPr>
        <w:pStyle w:val="OurHeading2"/>
        <w:widowControl w:val="0"/>
        <w:jc w:val="both"/>
      </w:pPr>
      <w:r w:rsidRPr="000B46D7">
        <w:t xml:space="preserve">3.1  </w:t>
      </w:r>
      <w:r w:rsidR="0055094D" w:rsidRPr="000B46D7">
        <w:t>The Georgia Property Tax Database</w:t>
      </w:r>
    </w:p>
    <w:p w14:paraId="585E081E" w14:textId="3EBFAFA0" w:rsidR="00805612" w:rsidRPr="000B46D7" w:rsidRDefault="00805612" w:rsidP="000B46D7">
      <w:pPr>
        <w:widowControl w:val="0"/>
        <w:spacing w:before="120" w:after="120" w:line="360" w:lineRule="auto"/>
        <w:ind w:firstLine="720"/>
        <w:jc w:val="both"/>
        <w:rPr>
          <w:rFonts w:eastAsia="Times New Roman"/>
          <w:shd w:val="clear" w:color="auto" w:fill="FFFFFF"/>
        </w:rPr>
      </w:pPr>
      <w:r w:rsidRPr="000B46D7">
        <w:t>We collected and coded data on local residential property tax laws in Georgia, creating the Georgia Property Tax Database.</w:t>
      </w:r>
      <w:r w:rsidRPr="000B46D7">
        <w:rPr>
          <w:rStyle w:val="FootnoteReference"/>
        </w:rPr>
        <w:footnoteReference w:id="2"/>
      </w:r>
      <w:r w:rsidRPr="000B46D7">
        <w:t xml:space="preserve">  This database details the variability in homestead exemptions across local jurisdictions in Georgia as well as the variability within a jurisdiction by individual characteristics, including age, disability status, veteran status, and income.  This unique data set covers a one hundred year period, from 1913 to 2013.</w:t>
      </w:r>
      <w:r w:rsidRPr="000B46D7">
        <w:rPr>
          <w:rStyle w:val="FootnoteReference"/>
        </w:rPr>
        <w:footnoteReference w:id="3"/>
      </w:r>
      <w:r w:rsidRPr="000B46D7">
        <w:t xml:space="preserve">  We include four types of jurisdictions in the database: (i) all 159 counties; all school districts, which we subdivide into (ii) all 159 county-level school districts and (iii) the state's 26 independent school districts; and (iv) select municipalities, including the top 30 most populated cities in Georgia plus others with </w:t>
      </w:r>
      <w:r w:rsidRPr="000B46D7">
        <w:rPr>
          <w:rFonts w:eastAsia="Times New Roman"/>
          <w:shd w:val="clear" w:color="auto" w:fill="FFFFFF"/>
        </w:rPr>
        <w:t>an independent school district.</w:t>
      </w:r>
    </w:p>
    <w:p w14:paraId="27DC263B" w14:textId="6111D828" w:rsidR="00805612" w:rsidRPr="000B46D7" w:rsidRDefault="00805612" w:rsidP="000B46D7">
      <w:pPr>
        <w:widowControl w:val="0"/>
        <w:spacing w:before="120" w:after="120" w:line="360" w:lineRule="auto"/>
        <w:ind w:firstLine="720"/>
        <w:jc w:val="both"/>
        <w:rPr>
          <w:rFonts w:eastAsia="Times New Roman"/>
          <w:shd w:val="clear" w:color="auto" w:fill="FFFFFF"/>
        </w:rPr>
      </w:pPr>
      <w:r w:rsidRPr="000B46D7">
        <w:rPr>
          <w:rFonts w:eastAsia="Times New Roman"/>
          <w:shd w:val="clear" w:color="auto" w:fill="FFFFFF"/>
        </w:rPr>
        <w:t>The database provides information on up to eight local property tax rules and eight state rules for each jurisdiction and year, with details on the demographic group to whom the property tax provision is targeted, including age and income limits (and combinations of the two).</w:t>
      </w:r>
    </w:p>
    <w:p w14:paraId="74C4F7AF" w14:textId="61F7F9B3" w:rsidR="0055094D" w:rsidRPr="000B46D7" w:rsidRDefault="0055094D" w:rsidP="000B46D7">
      <w:pPr>
        <w:widowControl w:val="0"/>
        <w:spacing w:before="120" w:after="120" w:line="360" w:lineRule="auto"/>
        <w:ind w:firstLine="720"/>
        <w:jc w:val="both"/>
        <w:rPr>
          <w:rFonts w:eastAsia="Times New Roman"/>
          <w:shd w:val="clear" w:color="auto" w:fill="FFFFFF"/>
        </w:rPr>
      </w:pPr>
      <w:r w:rsidRPr="000B46D7">
        <w:rPr>
          <w:rFonts w:eastAsia="Times New Roman"/>
          <w:shd w:val="clear" w:color="auto" w:fill="FFFFFF"/>
        </w:rPr>
        <w:t xml:space="preserve">The </w:t>
      </w:r>
      <w:r w:rsidR="00805612" w:rsidRPr="000B46D7">
        <w:rPr>
          <w:rFonts w:eastAsia="Times New Roman"/>
          <w:shd w:val="clear" w:color="auto" w:fill="FFFFFF"/>
        </w:rPr>
        <w:t xml:space="preserve">data are organized using the following </w:t>
      </w:r>
      <w:r w:rsidRPr="000B46D7">
        <w:rPr>
          <w:rFonts w:eastAsia="Times New Roman"/>
          <w:shd w:val="clear" w:color="auto" w:fill="FFFFFF"/>
        </w:rPr>
        <w:t>conceptual framework</w:t>
      </w:r>
      <w:r w:rsidR="00805612" w:rsidRPr="000B46D7">
        <w:rPr>
          <w:rFonts w:eastAsia="Times New Roman"/>
          <w:shd w:val="clear" w:color="auto" w:fill="FFFFFF"/>
        </w:rPr>
        <w:t>.</w:t>
      </w:r>
      <w:r w:rsidRPr="000B46D7">
        <w:rPr>
          <w:rFonts w:eastAsia="Times New Roman"/>
          <w:shd w:val="clear" w:color="auto" w:fill="FFFFFF"/>
        </w:rPr>
        <w:t xml:space="preserve">  In the absence of any local property tax concessions, the total ad valorem property tax for a household of demographic type </w:t>
      </w:r>
      <w:r w:rsidRPr="000B46D7">
        <w:rPr>
          <w:rFonts w:eastAsia="Times New Roman"/>
          <w:i/>
          <w:shd w:val="clear" w:color="auto" w:fill="FFFFFF"/>
        </w:rPr>
        <w:t xml:space="preserve">i </w:t>
      </w:r>
      <w:r w:rsidRPr="000B46D7">
        <w:rPr>
          <w:rFonts w:eastAsia="Times New Roman"/>
          <w:shd w:val="clear" w:color="auto" w:fill="FFFFFF"/>
        </w:rPr>
        <w:t xml:space="preserve">living in jurisdiction </w:t>
      </w:r>
      <w:r w:rsidRPr="000B46D7">
        <w:rPr>
          <w:rFonts w:eastAsia="Times New Roman"/>
          <w:i/>
          <w:shd w:val="clear" w:color="auto" w:fill="FFFFFF"/>
        </w:rPr>
        <w:t>j</w:t>
      </w:r>
      <w:r w:rsidRPr="000B46D7">
        <w:rPr>
          <w:rFonts w:eastAsia="Times New Roman"/>
          <w:shd w:val="clear" w:color="auto" w:fill="FFFFFF"/>
        </w:rPr>
        <w:t xml:space="preserve"> (levied by jurisdiction </w:t>
      </w:r>
      <w:r w:rsidRPr="000B46D7">
        <w:rPr>
          <w:rFonts w:eastAsia="Times New Roman"/>
          <w:i/>
          <w:shd w:val="clear" w:color="auto" w:fill="FFFFFF"/>
        </w:rPr>
        <w:t>j</w:t>
      </w:r>
      <w:r w:rsidRPr="000B46D7">
        <w:rPr>
          <w:rFonts w:eastAsia="Times New Roman"/>
          <w:shd w:val="clear" w:color="auto" w:fill="FFFFFF"/>
        </w:rPr>
        <w:t>) is given by:</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080"/>
        <w:gridCol w:w="7740"/>
      </w:tblGrid>
      <w:tr w:rsidR="00493E42" w:rsidRPr="00EC1447" w14:paraId="2ABB66E0" w14:textId="77777777" w:rsidTr="00E26EA4">
        <w:tc>
          <w:tcPr>
            <w:tcW w:w="900" w:type="dxa"/>
          </w:tcPr>
          <w:p w14:paraId="6A38FA65" w14:textId="77777777" w:rsidR="00493E42" w:rsidRPr="000B46D7" w:rsidRDefault="00493E42" w:rsidP="00E26EA4">
            <w:pPr>
              <w:pStyle w:val="Ourbodytext"/>
              <w:widowControl w:val="0"/>
              <w:ind w:firstLine="0"/>
              <w:jc w:val="both"/>
            </w:pPr>
            <w:r w:rsidRPr="000B46D7">
              <w:t>(</w:t>
            </w:r>
            <w:r>
              <w:t>4</w:t>
            </w:r>
            <w:r w:rsidRPr="000B46D7">
              <w:t>)</w:t>
            </w:r>
          </w:p>
        </w:tc>
        <w:tc>
          <w:tcPr>
            <w:tcW w:w="1080" w:type="dxa"/>
          </w:tcPr>
          <w:p w14:paraId="26EAEA7B" w14:textId="77777777" w:rsidR="00493E42" w:rsidRPr="00752B6F" w:rsidRDefault="00CA1404" w:rsidP="00E26EA4">
            <w:pPr>
              <w:pStyle w:val="Ourbodytext"/>
              <w:widowControl w:val="0"/>
              <w:ind w:firstLine="0"/>
              <w:jc w:val="both"/>
            </w:pPr>
            <m:oMathPara>
              <m:oMathParaPr>
                <m:jc m:val="right"/>
              </m:oMathParaPr>
              <m:oMath>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 xml:space="preserve"> T</m:t>
                    </m:r>
                  </m:e>
                  <m:sub>
                    <m:r>
                      <w:rPr>
                        <w:rFonts w:ascii="Cambria Math" w:eastAsia="Times New Roman" w:hAnsi="Cambria Math"/>
                        <w:shd w:val="clear" w:color="auto" w:fill="FFFFFF"/>
                      </w:rPr>
                      <m:t>ij</m:t>
                    </m:r>
                  </m:sub>
                </m:sSub>
                <m:r>
                  <w:rPr>
                    <w:rFonts w:ascii="Cambria Math" w:eastAsia="Times New Roman" w:hAnsi="Cambria Math"/>
                    <w:shd w:val="clear" w:color="auto" w:fill="FFFFFF"/>
                  </w:rPr>
                  <m:t>=</m:t>
                </m:r>
              </m:oMath>
            </m:oMathPara>
          </w:p>
        </w:tc>
        <w:tc>
          <w:tcPr>
            <w:tcW w:w="7740" w:type="dxa"/>
          </w:tcPr>
          <w:p w14:paraId="1D3238D8" w14:textId="77777777" w:rsidR="00493E42" w:rsidRPr="00EC1447" w:rsidRDefault="00CA1404" w:rsidP="00E26EA4">
            <w:pPr>
              <w:pStyle w:val="Ourbodytext"/>
              <w:widowControl w:val="0"/>
              <w:ind w:firstLine="0"/>
              <w:jc w:val="both"/>
            </w:pPr>
            <m:oMathPara>
              <m:oMathParaPr>
                <m:jc m:val="left"/>
              </m:oMathParaPr>
              <m:oMath>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MO</m:t>
                        </m:r>
                      </m:sup>
                    </m:sSubSup>
                    <m:r>
                      <w:rPr>
                        <w:rFonts w:ascii="Cambria Math" w:eastAsia="Times New Roman" w:hAnsi="Cambria Math"/>
                        <w:shd w:val="clear" w:color="auto" w:fill="FFFFFF"/>
                      </w:rPr>
                      <m:t>+</m:t>
                    </m:r>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B</m:t>
                        </m:r>
                      </m:sup>
                    </m:sSubSup>
                  </m:e>
                </m:d>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r>
                  <w:rPr>
                    <w:rFonts w:ascii="Cambria Math" w:eastAsia="Times New Roman" w:hAnsi="Cambria Math"/>
                    <w:shd w:val="clear" w:color="auto" w:fill="FFFFFF"/>
                  </w:rPr>
                  <m:t>V</m:t>
                </m:r>
                <m:r>
                  <m:rPr>
                    <m:sty m:val="p"/>
                  </m:rPr>
                  <w:rPr>
                    <w:rFonts w:ascii="Cambria Math" w:eastAsia="Times New Roman" w:hAnsi="Cambria Math"/>
                    <w:shd w:val="clear" w:color="auto" w:fill="FFFFFF"/>
                  </w:rPr>
                  <m:t>,</m:t>
                </m:r>
              </m:oMath>
            </m:oMathPara>
          </w:p>
        </w:tc>
      </w:tr>
    </w:tbl>
    <w:p w14:paraId="2D965FF8" w14:textId="2087BBEC" w:rsidR="0055094D" w:rsidRPr="000B46D7" w:rsidRDefault="0055094D" w:rsidP="000B46D7">
      <w:pPr>
        <w:widowControl w:val="0"/>
        <w:spacing w:before="120" w:after="120" w:line="360" w:lineRule="auto"/>
        <w:jc w:val="both"/>
        <w:rPr>
          <w:rFonts w:eastAsia="Times New Roman"/>
          <w:shd w:val="clear" w:color="auto" w:fill="FFFFFF"/>
        </w:rPr>
      </w:pPr>
      <w:r w:rsidRPr="000B46D7">
        <w:rPr>
          <w:rFonts w:eastAsia="Times New Roman"/>
          <w:shd w:val="clear" w:color="auto" w:fill="FFFFFF"/>
        </w:rPr>
        <w:lastRenderedPageBreak/>
        <w:t xml:space="preserve">where </w:t>
      </w:r>
      <w:r w:rsidRPr="000B46D7">
        <w:rPr>
          <w:rFonts w:eastAsia="Times New Roman"/>
          <w:i/>
          <w:shd w:val="clear" w:color="auto" w:fill="FFFFFF"/>
        </w:rPr>
        <w:t xml:space="preserve">V </w:t>
      </w:r>
      <w:r w:rsidRPr="000B46D7">
        <w:rPr>
          <w:rFonts w:eastAsia="Times New Roman"/>
          <w:shd w:val="clear" w:color="auto" w:fill="FFFFFF"/>
        </w:rPr>
        <w:t xml:space="preserve">is the fair market value, </w:t>
      </w:r>
      <m:oMath>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oMath>
      <w:r w:rsidRPr="000B46D7">
        <w:rPr>
          <w:rFonts w:eastAsia="Times New Roman"/>
          <w:shd w:val="clear" w:color="auto" w:fill="FFFFFF"/>
        </w:rPr>
        <w:t xml:space="preserve"> is the assessment ratio in jurisdiction </w:t>
      </w:r>
      <w:r w:rsidRPr="000B46D7">
        <w:rPr>
          <w:rFonts w:eastAsia="Times New Roman"/>
          <w:i/>
          <w:shd w:val="clear" w:color="auto" w:fill="FFFFFF"/>
        </w:rPr>
        <w:t>j</w:t>
      </w:r>
      <w:r w:rsidRPr="000B46D7">
        <w:rPr>
          <w:rFonts w:eastAsia="Times New Roman"/>
          <w:shd w:val="clear" w:color="auto" w:fill="FFFFFF"/>
        </w:rPr>
        <w:t xml:space="preserve">, and </w:t>
      </w:r>
      <m:oMath>
        <m:sSup>
          <m:sSupPr>
            <m:ctrlPr>
              <w:rPr>
                <w:rFonts w:ascii="Cambria Math" w:eastAsia="Times New Roman" w:hAnsi="Cambria Math"/>
                <w:i/>
                <w:shd w:val="clear" w:color="auto" w:fill="FFFFFF"/>
              </w:rPr>
            </m:ctrlPr>
          </m:sSupPr>
          <m:e>
            <m:r>
              <w:rPr>
                <w:rFonts w:ascii="Cambria Math" w:eastAsia="Times New Roman" w:hAnsi="Cambria Math"/>
                <w:shd w:val="clear" w:color="auto" w:fill="FFFFFF"/>
              </w:rPr>
              <m:t>τ</m:t>
            </m:r>
          </m:e>
          <m:sup>
            <m:r>
              <w:rPr>
                <w:rFonts w:ascii="Cambria Math" w:eastAsia="Times New Roman" w:hAnsi="Cambria Math"/>
                <w:shd w:val="clear" w:color="auto" w:fill="FFFFFF"/>
              </w:rPr>
              <m:t>MO</m:t>
            </m:r>
          </m:sup>
        </m:sSup>
      </m:oMath>
      <w:r w:rsidR="00285DDA" w:rsidRPr="000B46D7">
        <w:rPr>
          <w:rFonts w:eastAsia="Times New Roman"/>
          <w:shd w:val="clear" w:color="auto" w:fill="FFFFFF"/>
        </w:rPr>
        <w:t xml:space="preserve"> and </w:t>
      </w:r>
      <m:oMath>
        <m:sSup>
          <m:sSupPr>
            <m:ctrlPr>
              <w:rPr>
                <w:rFonts w:ascii="Cambria Math" w:eastAsia="Times New Roman" w:hAnsi="Cambria Math"/>
                <w:i/>
                <w:shd w:val="clear" w:color="auto" w:fill="FFFFFF"/>
              </w:rPr>
            </m:ctrlPr>
          </m:sSupPr>
          <m:e>
            <m:r>
              <w:rPr>
                <w:rFonts w:ascii="Cambria Math" w:eastAsia="Times New Roman" w:hAnsi="Cambria Math"/>
                <w:shd w:val="clear" w:color="auto" w:fill="FFFFFF"/>
              </w:rPr>
              <m:t>τ</m:t>
            </m:r>
          </m:e>
          <m:sup>
            <m:r>
              <w:rPr>
                <w:rFonts w:ascii="Cambria Math" w:eastAsia="Times New Roman" w:hAnsi="Cambria Math"/>
                <w:shd w:val="clear" w:color="auto" w:fill="FFFFFF"/>
              </w:rPr>
              <m:t>B</m:t>
            </m:r>
          </m:sup>
        </m:sSup>
      </m:oMath>
      <w:r w:rsidR="00285DDA" w:rsidRPr="000B46D7">
        <w:rPr>
          <w:rFonts w:eastAsia="Times New Roman"/>
          <w:shd w:val="clear" w:color="auto" w:fill="FFFFFF"/>
        </w:rPr>
        <w:t xml:space="preserve"> are, respectively, the property</w:t>
      </w:r>
      <w:r w:rsidRPr="000B46D7">
        <w:rPr>
          <w:rFonts w:eastAsia="Times New Roman"/>
          <w:shd w:val="clear" w:color="auto" w:fill="FFFFFF"/>
        </w:rPr>
        <w:t xml:space="preserve"> tax rate</w:t>
      </w:r>
      <w:r w:rsidR="00285DDA" w:rsidRPr="000B46D7">
        <w:rPr>
          <w:rFonts w:eastAsia="Times New Roman"/>
          <w:shd w:val="clear" w:color="auto" w:fill="FFFFFF"/>
        </w:rPr>
        <w:t>s</w:t>
      </w:r>
      <w:r w:rsidRPr="000B46D7">
        <w:rPr>
          <w:rFonts w:eastAsia="Times New Roman"/>
          <w:shd w:val="clear" w:color="auto" w:fill="FFFFFF"/>
        </w:rPr>
        <w:t xml:space="preserve"> for maintenance and operations</w:t>
      </w:r>
      <w:r w:rsidR="00285DDA" w:rsidRPr="000B46D7">
        <w:rPr>
          <w:rFonts w:eastAsia="Times New Roman"/>
          <w:shd w:val="clear" w:color="auto" w:fill="FFFFFF"/>
        </w:rPr>
        <w:t xml:space="preserve"> and </w:t>
      </w:r>
      <w:r w:rsidRPr="000B46D7">
        <w:rPr>
          <w:rFonts w:eastAsia="Times New Roman"/>
          <w:shd w:val="clear" w:color="auto" w:fill="FFFFFF"/>
        </w:rPr>
        <w:t>for bonds.</w:t>
      </w:r>
    </w:p>
    <w:p w14:paraId="7CEC76F8" w14:textId="57E00DA4" w:rsidR="0055094D" w:rsidRPr="000B46D7" w:rsidRDefault="0055094D" w:rsidP="000B46D7">
      <w:pPr>
        <w:widowControl w:val="0"/>
        <w:spacing w:before="120" w:after="120" w:line="360" w:lineRule="auto"/>
        <w:ind w:firstLine="720"/>
        <w:jc w:val="both"/>
        <w:rPr>
          <w:rFonts w:eastAsia="Times New Roman"/>
          <w:shd w:val="clear" w:color="auto" w:fill="FFFFFF"/>
        </w:rPr>
      </w:pPr>
      <w:r w:rsidRPr="000B46D7">
        <w:rPr>
          <w:rFonts w:eastAsia="Times New Roman"/>
          <w:shd w:val="clear" w:color="auto" w:fill="FFFFFF"/>
        </w:rPr>
        <w:t>Exemptions and concessions may reduce the some households</w:t>
      </w:r>
      <w:r w:rsidR="005500B0" w:rsidRPr="000B46D7">
        <w:rPr>
          <w:rFonts w:eastAsia="Times New Roman"/>
          <w:shd w:val="clear" w:color="auto" w:fill="FFFFFF"/>
        </w:rPr>
        <w:t>'</w:t>
      </w:r>
      <w:r w:rsidRPr="000B46D7">
        <w:rPr>
          <w:rFonts w:eastAsia="Times New Roman"/>
          <w:shd w:val="clear" w:color="auto" w:fill="FFFFFF"/>
        </w:rPr>
        <w:t xml:space="preserve"> total ad valorem tax by altering the taxable value or the tax rate.  Incorporating various exemptions and other concessions into Equation</w:t>
      </w:r>
      <w:r w:rsidR="00CD47E5">
        <w:rPr>
          <w:rFonts w:eastAsia="Times New Roman"/>
          <w:shd w:val="clear" w:color="auto" w:fill="FFFFFF"/>
        </w:rPr>
        <w:t> </w:t>
      </w:r>
      <w:r w:rsidRPr="000B46D7">
        <w:rPr>
          <w:rFonts w:eastAsia="Times New Roman"/>
          <w:shd w:val="clear" w:color="auto" w:fill="FFFFFF"/>
        </w:rPr>
        <w:t>(</w:t>
      </w:r>
      <w:r w:rsidR="00493E42">
        <w:rPr>
          <w:rFonts w:eastAsia="Times New Roman"/>
          <w:shd w:val="clear" w:color="auto" w:fill="FFFFFF"/>
        </w:rPr>
        <w:t>4</w:t>
      </w:r>
      <w:r w:rsidRPr="000B46D7">
        <w:rPr>
          <w:rFonts w:eastAsia="Times New Roman"/>
          <w:shd w:val="clear" w:color="auto" w:fill="FFFFFF"/>
        </w:rPr>
        <w:t>), the ad valorem tax for a household of demographic type</w:t>
      </w:r>
      <w:r w:rsidR="00CD47E5">
        <w:rPr>
          <w:rFonts w:eastAsia="Times New Roman"/>
          <w:shd w:val="clear" w:color="auto" w:fill="FFFFFF"/>
        </w:rPr>
        <w:t> </w:t>
      </w:r>
      <w:r w:rsidRPr="000B46D7">
        <w:rPr>
          <w:rFonts w:eastAsia="Times New Roman"/>
          <w:i/>
          <w:shd w:val="clear" w:color="auto" w:fill="FFFFFF"/>
        </w:rPr>
        <w:t xml:space="preserve">i </w:t>
      </w:r>
      <w:r w:rsidRPr="000B46D7">
        <w:rPr>
          <w:rFonts w:eastAsia="Times New Roman"/>
          <w:shd w:val="clear" w:color="auto" w:fill="FFFFFF"/>
        </w:rPr>
        <w:t>living in jurisdiction</w:t>
      </w:r>
      <w:r w:rsidR="00CD47E5">
        <w:rPr>
          <w:rFonts w:eastAsia="Times New Roman"/>
          <w:shd w:val="clear" w:color="auto" w:fill="FFFFFF"/>
        </w:rPr>
        <w:t> </w:t>
      </w:r>
      <w:r w:rsidRPr="000B46D7">
        <w:rPr>
          <w:rFonts w:eastAsia="Times New Roman"/>
          <w:i/>
          <w:shd w:val="clear" w:color="auto" w:fill="FFFFFF"/>
        </w:rPr>
        <w:t>j</w:t>
      </w:r>
      <w:r w:rsidRPr="000B46D7">
        <w:rPr>
          <w:rFonts w:eastAsia="Times New Roman"/>
          <w:shd w:val="clear" w:color="auto" w:fill="FFFFFF"/>
        </w:rPr>
        <w:t xml:space="preserve"> becomes:</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080"/>
        <w:gridCol w:w="7740"/>
      </w:tblGrid>
      <w:tr w:rsidR="00493E42" w:rsidRPr="00EC1447" w14:paraId="7FC2AB7B" w14:textId="77777777" w:rsidTr="00E26EA4">
        <w:tc>
          <w:tcPr>
            <w:tcW w:w="900" w:type="dxa"/>
          </w:tcPr>
          <w:p w14:paraId="721765D0" w14:textId="77777777" w:rsidR="00493E42" w:rsidRPr="000B46D7" w:rsidRDefault="00493E42" w:rsidP="00E26EA4">
            <w:pPr>
              <w:pStyle w:val="Ourbodytext"/>
              <w:widowControl w:val="0"/>
              <w:ind w:firstLine="0"/>
              <w:jc w:val="both"/>
            </w:pPr>
            <w:r w:rsidRPr="000B46D7">
              <w:t>(</w:t>
            </w:r>
            <w:r>
              <w:t>5</w:t>
            </w:r>
            <w:r w:rsidRPr="000B46D7">
              <w:t>)</w:t>
            </w:r>
          </w:p>
        </w:tc>
        <w:tc>
          <w:tcPr>
            <w:tcW w:w="1080" w:type="dxa"/>
          </w:tcPr>
          <w:p w14:paraId="06A9D281" w14:textId="77777777" w:rsidR="00493E42" w:rsidRPr="00752B6F" w:rsidRDefault="00CA1404" w:rsidP="00E26EA4">
            <w:pPr>
              <w:pStyle w:val="Ourbodytext"/>
              <w:widowControl w:val="0"/>
              <w:ind w:firstLine="0"/>
              <w:jc w:val="both"/>
            </w:pPr>
            <m:oMathPara>
              <m:oMathParaPr>
                <m:jc m:val="right"/>
              </m:oMathParaPr>
              <m:oMath>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T</m:t>
                    </m:r>
                  </m:e>
                  <m:sub>
                    <m:r>
                      <w:rPr>
                        <w:rFonts w:ascii="Cambria Math" w:eastAsia="Times New Roman" w:hAnsi="Cambria Math"/>
                        <w:shd w:val="clear" w:color="auto" w:fill="FFFFFF"/>
                      </w:rPr>
                      <m:t>ij</m:t>
                    </m:r>
                  </m:sub>
                </m:sSub>
                <m:r>
                  <w:rPr>
                    <w:rFonts w:ascii="Cambria Math" w:eastAsia="Times New Roman" w:hAnsi="Cambria Math"/>
                    <w:shd w:val="clear" w:color="auto" w:fill="FFFFFF"/>
                  </w:rPr>
                  <m:t>=</m:t>
                </m:r>
              </m:oMath>
            </m:oMathPara>
          </w:p>
        </w:tc>
        <w:tc>
          <w:tcPr>
            <w:tcW w:w="7740" w:type="dxa"/>
          </w:tcPr>
          <w:p w14:paraId="3BFD4EBE" w14:textId="77777777" w:rsidR="00493E42" w:rsidRPr="00EC1447" w:rsidRDefault="00CA1404" w:rsidP="00E26EA4">
            <w:pPr>
              <w:pStyle w:val="Ourbodytext"/>
              <w:widowControl w:val="0"/>
              <w:ind w:firstLine="0"/>
              <w:jc w:val="both"/>
            </w:pP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θ</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MO</m:t>
                  </m:r>
                </m:sup>
              </m:sSubSup>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ϕ</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r>
                    <w:rPr>
                      <w:rFonts w:ascii="Cambria Math" w:eastAsia="Times New Roman" w:hAnsi="Cambria Math"/>
                      <w:shd w:val="clear" w:color="auto" w:fill="FFFFFF"/>
                    </w:rPr>
                    <m:t>V-</m:t>
                  </m:r>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Sij</m:t>
                          </m:r>
                        </m:sub>
                        <m:sup>
                          <m:r>
                            <w:rPr>
                              <w:rFonts w:ascii="Cambria Math" w:eastAsia="Times New Roman" w:hAnsi="Cambria Math"/>
                              <w:shd w:val="clear" w:color="auto" w:fill="FFFFFF"/>
                            </w:rPr>
                            <m:t>MO</m:t>
                          </m:r>
                        </m:sup>
                      </m:sSubSup>
                      <m:r>
                        <w:rPr>
                          <w:rFonts w:ascii="Cambria Math" w:eastAsia="Times New Roman" w:hAnsi="Cambria Math"/>
                          <w:shd w:val="clear" w:color="auto" w:fill="FFFFFF"/>
                        </w:rPr>
                        <m:t>+</m:t>
                      </m:r>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MO</m:t>
                          </m:r>
                        </m:sup>
                      </m:sSubSup>
                    </m:e>
                  </m:d>
                </m:e>
              </m:d>
              <m:r>
                <w:rPr>
                  <w:rFonts w:ascii="Cambria Math" w:eastAsia="Times New Roman" w:hAnsi="Cambria Math"/>
                  <w:shd w:val="clear" w:color="auto" w:fill="FFFFFF"/>
                </w:rPr>
                <m:t>+</m:t>
              </m:r>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θ</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B</m:t>
                  </m:r>
                </m:sup>
              </m:sSubSup>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B</m:t>
                  </m:r>
                </m:sup>
              </m:sSubSup>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ϕ</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B</m:t>
                      </m:r>
                    </m:sup>
                  </m:sSubSup>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r>
                    <w:rPr>
                      <w:rFonts w:ascii="Cambria Math" w:eastAsia="Times New Roman" w:hAnsi="Cambria Math"/>
                      <w:shd w:val="clear" w:color="auto" w:fill="FFFFFF"/>
                    </w:rPr>
                    <m:t>V-</m:t>
                  </m:r>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Sij</m:t>
                          </m:r>
                        </m:sub>
                        <m:sup>
                          <m:r>
                            <w:rPr>
                              <w:rFonts w:ascii="Cambria Math" w:eastAsia="Times New Roman" w:hAnsi="Cambria Math"/>
                              <w:shd w:val="clear" w:color="auto" w:fill="FFFFFF"/>
                            </w:rPr>
                            <m:t>B</m:t>
                          </m:r>
                        </m:sup>
                      </m:sSubSup>
                      <m:r>
                        <w:rPr>
                          <w:rFonts w:ascii="Cambria Math" w:eastAsia="Times New Roman" w:hAnsi="Cambria Math"/>
                          <w:shd w:val="clear" w:color="auto" w:fill="FFFFFF"/>
                        </w:rPr>
                        <m:t>+</m:t>
                      </m:r>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B</m:t>
                          </m:r>
                        </m:sup>
                      </m:sSubSup>
                    </m:e>
                  </m:d>
                </m:e>
              </m:d>
            </m:oMath>
            <w:r w:rsidR="00493E42" w:rsidRPr="000B46D7">
              <w:rPr>
                <w:rFonts w:eastAsia="Times New Roman"/>
                <w:shd w:val="clear" w:color="auto" w:fill="FFFFFF"/>
              </w:rPr>
              <w:t>,</w:t>
            </w:r>
          </w:p>
        </w:tc>
      </w:tr>
    </w:tbl>
    <w:p w14:paraId="21E3D6E4" w14:textId="5B411A31" w:rsidR="0055094D" w:rsidRPr="000B46D7" w:rsidRDefault="0055094D" w:rsidP="000B46D7">
      <w:pPr>
        <w:widowControl w:val="0"/>
        <w:spacing w:before="120" w:after="120" w:line="360" w:lineRule="auto"/>
        <w:jc w:val="both"/>
        <w:rPr>
          <w:rFonts w:eastAsia="Times New Roman"/>
          <w:shd w:val="clear" w:color="auto" w:fill="FFFFFF"/>
        </w:rPr>
      </w:pPr>
      <w:r w:rsidRPr="000B46D7">
        <w:rPr>
          <w:rFonts w:eastAsia="Times New Roman"/>
          <w:shd w:val="clear" w:color="auto" w:fill="FFFFFF"/>
        </w:rPr>
        <w:t xml:space="preserve">with the restriction that </w:t>
      </w:r>
      <w:r w:rsidRPr="000B46D7">
        <w:rPr>
          <w:rFonts w:eastAsia="Times New Roman"/>
          <w:i/>
          <w:shd w:val="clear" w:color="auto" w:fill="FFFFFF"/>
        </w:rPr>
        <w:t>T</w:t>
      </w:r>
      <w:r w:rsidRPr="000B46D7">
        <w:rPr>
          <w:rFonts w:eastAsia="Times New Roman"/>
          <w:i/>
          <w:shd w:val="clear" w:color="auto" w:fill="FFFFFF"/>
          <w:vertAlign w:val="subscript"/>
        </w:rPr>
        <w:t>ij</w:t>
      </w:r>
      <w:r w:rsidR="00285DDA" w:rsidRPr="000B46D7">
        <w:rPr>
          <w:rFonts w:eastAsia="Times New Roman"/>
          <w:shd w:val="clear" w:color="auto" w:fill="FFFFFF"/>
        </w:rPr>
        <w:t> </w:t>
      </w:r>
      <w:r w:rsidRPr="000B46D7">
        <w:rPr>
          <w:rFonts w:eastAsia="Times New Roman"/>
          <w:shd w:val="clear" w:color="auto" w:fill="FFFFFF"/>
        </w:rPr>
        <w:t>≥ 0.  This expression uses the following notation:</w:t>
      </w:r>
    </w:p>
    <w:p w14:paraId="3CB7BAF3" w14:textId="0ED3E7F3" w:rsidR="0055094D" w:rsidRPr="000B46D7" w:rsidRDefault="00CA1404" w:rsidP="000B46D7">
      <w:pPr>
        <w:widowControl w:val="0"/>
        <w:spacing w:before="120" w:after="120" w:line="360" w:lineRule="auto"/>
        <w:ind w:left="720" w:hanging="360"/>
        <w:jc w:val="both"/>
        <w:rPr>
          <w:rFonts w:eastAsia="Times New Roman"/>
          <w:shd w:val="clear" w:color="auto" w:fill="FFFFFF"/>
        </w:rPr>
      </w:pP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θ</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oMath>
      <w:r w:rsidR="0055094D" w:rsidRPr="000B46D7">
        <w:rPr>
          <w:rFonts w:eastAsia="Times New Roman"/>
          <w:shd w:val="clear" w:color="auto" w:fill="FFFFFF"/>
        </w:rPr>
        <w:t xml:space="preserve"> and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θ</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B</m:t>
            </m:r>
          </m:sup>
        </m:sSubSup>
      </m:oMath>
      <w:r w:rsidR="0055094D" w:rsidRPr="000B46D7">
        <w:rPr>
          <w:rFonts w:eastAsia="Times New Roman"/>
          <w:shd w:val="clear" w:color="auto" w:fill="FFFFFF"/>
        </w:rPr>
        <w:t xml:space="preserve"> are the proportions by which the M&amp;O and bond millage rates, respectively, are prorated (0 being a full exemption) for individual </w:t>
      </w:r>
      <w:r w:rsidR="0055094D" w:rsidRPr="000B46D7">
        <w:rPr>
          <w:rFonts w:eastAsia="Times New Roman"/>
          <w:i/>
          <w:shd w:val="clear" w:color="auto" w:fill="FFFFFF"/>
        </w:rPr>
        <w:t>i</w:t>
      </w:r>
      <w:r w:rsidR="0055094D" w:rsidRPr="000B46D7">
        <w:rPr>
          <w:rFonts w:eastAsia="Times New Roman"/>
          <w:shd w:val="clear" w:color="auto" w:fill="FFFFFF"/>
        </w:rPr>
        <w:t xml:space="preserve"> in jurisdiction </w:t>
      </w:r>
      <w:r w:rsidR="0055094D" w:rsidRPr="000B46D7">
        <w:rPr>
          <w:rFonts w:eastAsia="Times New Roman"/>
          <w:i/>
          <w:shd w:val="clear" w:color="auto" w:fill="FFFFFF"/>
        </w:rPr>
        <w:t>j</w:t>
      </w:r>
      <w:r w:rsidR="0055094D" w:rsidRPr="000B46D7">
        <w:rPr>
          <w:rFonts w:eastAsia="Times New Roman"/>
          <w:shd w:val="clear" w:color="auto" w:fill="FFFFFF"/>
        </w:rPr>
        <w:t xml:space="preserve">; </w:t>
      </w:r>
    </w:p>
    <w:p w14:paraId="6F8BD91C" w14:textId="35F29D82" w:rsidR="0055094D" w:rsidRPr="000B46D7" w:rsidRDefault="00CA1404" w:rsidP="000B46D7">
      <w:pPr>
        <w:widowControl w:val="0"/>
        <w:spacing w:before="120" w:after="120" w:line="360" w:lineRule="auto"/>
        <w:ind w:left="720" w:hanging="360"/>
        <w:jc w:val="both"/>
        <w:rPr>
          <w:rFonts w:eastAsia="Times New Roman"/>
          <w:shd w:val="clear" w:color="auto" w:fill="FFFFFF"/>
        </w:rPr>
      </w:pP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ϕ</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oMath>
      <w:r w:rsidR="0055094D" w:rsidRPr="000B46D7">
        <w:rPr>
          <w:rFonts w:eastAsia="Times New Roman"/>
          <w:shd w:val="clear" w:color="auto" w:fill="FFFFFF"/>
        </w:rPr>
        <w:t xml:space="preserve"> and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ϕ</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B</m:t>
            </m:r>
          </m:sup>
        </m:sSubSup>
      </m:oMath>
      <w:r w:rsidR="0055094D" w:rsidRPr="000B46D7">
        <w:rPr>
          <w:rFonts w:eastAsia="Times New Roman"/>
          <w:shd w:val="clear" w:color="auto" w:fill="FFFFFF"/>
        </w:rPr>
        <w:t xml:space="preserve"> are the respective proportionate adjustments to the assessment ratio; </w:t>
      </w:r>
    </w:p>
    <w:p w14:paraId="63150965" w14:textId="1767261A" w:rsidR="0055094D" w:rsidRPr="000B46D7" w:rsidRDefault="00CA1404" w:rsidP="000B46D7">
      <w:pPr>
        <w:widowControl w:val="0"/>
        <w:spacing w:before="120" w:after="120" w:line="360" w:lineRule="auto"/>
        <w:ind w:left="720" w:hanging="360"/>
        <w:jc w:val="both"/>
        <w:rPr>
          <w:rFonts w:eastAsia="Times New Roman"/>
          <w:shd w:val="clear" w:color="auto" w:fill="FFFFFF"/>
        </w:rPr>
      </w:pP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Sij</m:t>
            </m:r>
          </m:sub>
          <m:sup>
            <m:r>
              <w:rPr>
                <w:rFonts w:ascii="Cambria Math" w:eastAsia="Times New Roman" w:hAnsi="Cambria Math"/>
                <w:shd w:val="clear" w:color="auto" w:fill="FFFFFF"/>
              </w:rPr>
              <m:t>MO</m:t>
            </m:r>
          </m:sup>
        </m:sSubSup>
      </m:oMath>
      <w:r w:rsidR="0055094D" w:rsidRPr="000B46D7">
        <w:rPr>
          <w:rFonts w:eastAsia="Times New Roman"/>
          <w:shd w:val="clear" w:color="auto" w:fill="FFFFFF"/>
        </w:rPr>
        <w:t xml:space="preserve"> and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Sij</m:t>
            </m:r>
          </m:sub>
          <m:sup>
            <m:r>
              <w:rPr>
                <w:rFonts w:ascii="Cambria Math" w:eastAsia="Times New Roman" w:hAnsi="Cambria Math"/>
                <w:shd w:val="clear" w:color="auto" w:fill="FFFFFF"/>
              </w:rPr>
              <m:t>B</m:t>
            </m:r>
          </m:sup>
        </m:sSubSup>
      </m:oMath>
      <w:r w:rsidR="0055094D" w:rsidRPr="000B46D7">
        <w:rPr>
          <w:rFonts w:eastAsia="Times New Roman"/>
          <w:shd w:val="clear" w:color="auto" w:fill="FFFFFF"/>
        </w:rPr>
        <w:t xml:space="preserve"> are the respective dollar amounts of the state exemption, which in some cases may differ by jurisdiction and individual; and</w:t>
      </w:r>
    </w:p>
    <w:p w14:paraId="39165C35" w14:textId="1E166AEE" w:rsidR="0055094D" w:rsidRPr="000B46D7" w:rsidRDefault="00CA1404" w:rsidP="000B46D7">
      <w:pPr>
        <w:widowControl w:val="0"/>
        <w:spacing w:before="120" w:after="120" w:line="360" w:lineRule="auto"/>
        <w:ind w:left="720" w:hanging="360"/>
        <w:jc w:val="both"/>
        <w:rPr>
          <w:rFonts w:eastAsia="Times New Roman"/>
          <w:shd w:val="clear" w:color="auto" w:fill="FFFFFF"/>
        </w:rPr>
      </w:pP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MO</m:t>
            </m:r>
          </m:sup>
        </m:sSubSup>
      </m:oMath>
      <w:r w:rsidR="0055094D" w:rsidRPr="000B46D7">
        <w:rPr>
          <w:rFonts w:eastAsia="Times New Roman"/>
          <w:shd w:val="clear" w:color="auto" w:fill="FFFFFF"/>
        </w:rPr>
        <w:t xml:space="preserve"> and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B</m:t>
            </m:r>
          </m:sup>
        </m:sSubSup>
      </m:oMath>
      <w:r w:rsidR="0055094D" w:rsidRPr="000B46D7">
        <w:rPr>
          <w:rFonts w:eastAsia="Times New Roman"/>
          <w:shd w:val="clear" w:color="auto" w:fill="FFFFFF"/>
        </w:rPr>
        <w:t xml:space="preserve"> are the respective dollar amounts of an applicable local exemption.  </w:t>
      </w:r>
    </w:p>
    <w:p w14:paraId="29DC220A" w14:textId="3E7C61B3" w:rsidR="0055094D" w:rsidRPr="000B46D7" w:rsidRDefault="0055094D" w:rsidP="000B46D7">
      <w:pPr>
        <w:widowControl w:val="0"/>
        <w:spacing w:before="120" w:after="120" w:line="360" w:lineRule="auto"/>
        <w:jc w:val="both"/>
        <w:rPr>
          <w:rFonts w:eastAsia="Times New Roman"/>
          <w:shd w:val="clear" w:color="auto" w:fill="FFFFFF"/>
        </w:rPr>
      </w:pPr>
      <w:r w:rsidRPr="000B46D7">
        <w:rPr>
          <w:rFonts w:eastAsia="Times New Roman"/>
          <w:shd w:val="clear" w:color="auto" w:fill="FFFFFF"/>
        </w:rPr>
        <w:t xml:space="preserve">Using these definitions, </w:t>
      </w:r>
      <m:oMath>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r>
          <w:rPr>
            <w:rFonts w:ascii="Cambria Math" w:eastAsia="Times New Roman" w:hAnsi="Cambria Math"/>
            <w:shd w:val="clear" w:color="auto" w:fill="FFFFFF"/>
          </w:rPr>
          <m:t>V</m:t>
        </m:r>
      </m:oMath>
      <w:r w:rsidRPr="000B46D7">
        <w:rPr>
          <w:rFonts w:eastAsia="Times New Roman"/>
          <w:shd w:val="clear" w:color="auto" w:fill="FFFFFF"/>
        </w:rPr>
        <w:t xml:space="preserve"> is the assessed value and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ϕ</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r>
          <w:rPr>
            <w:rFonts w:ascii="Cambria Math" w:eastAsia="Times New Roman" w:hAnsi="Cambria Math"/>
            <w:shd w:val="clear" w:color="auto" w:fill="FFFFFF"/>
          </w:rPr>
          <m:t>V-</m:t>
        </m:r>
        <m:d>
          <m:dPr>
            <m:ctrlPr>
              <w:rPr>
                <w:rFonts w:ascii="Cambria Math" w:eastAsia="Times New Roman" w:hAnsi="Cambria Math"/>
                <w:i/>
                <w:shd w:val="clear" w:color="auto" w:fill="FFFFFF"/>
              </w:rPr>
            </m:ctrlPr>
          </m:dPr>
          <m:e>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m:t>
                </m:r>
              </m:sub>
              <m:sup>
                <m:r>
                  <w:rPr>
                    <w:rFonts w:ascii="Cambria Math" w:eastAsia="Times New Roman" w:hAnsi="Cambria Math"/>
                    <w:shd w:val="clear" w:color="auto" w:fill="FFFFFF"/>
                  </w:rPr>
                  <m:t>MO</m:t>
                </m:r>
              </m:sup>
            </m:sSubSup>
            <m:r>
              <w:rPr>
                <w:rFonts w:ascii="Cambria Math" w:eastAsia="Times New Roman" w:hAnsi="Cambria Math"/>
                <w:shd w:val="clear" w:color="auto" w:fill="FFFFFF"/>
              </w:rPr>
              <m:t>+</m:t>
            </m:r>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MO</m:t>
                </m:r>
              </m:sup>
            </m:sSubSup>
          </m:e>
        </m:d>
      </m:oMath>
      <w:r w:rsidRPr="000B46D7">
        <w:rPr>
          <w:rFonts w:eastAsia="Times New Roman"/>
          <w:shd w:val="clear" w:color="auto" w:fill="FFFFFF"/>
        </w:rPr>
        <w:t xml:space="preserve"> is the net assessed value.  By some definitions only the </w:t>
      </w:r>
      <m:oMath>
        <m:r>
          <w:rPr>
            <w:rFonts w:ascii="Cambria Math" w:eastAsia="Times New Roman" w:hAnsi="Cambria Math"/>
            <w:shd w:val="clear" w:color="auto" w:fill="FFFFFF"/>
          </w:rPr>
          <m:t>δ</m:t>
        </m:r>
      </m:oMath>
      <w:r w:rsidRPr="000B46D7">
        <w:rPr>
          <w:rFonts w:eastAsia="Times New Roman"/>
          <w:shd w:val="clear" w:color="auto" w:fill="FFFFFF"/>
        </w:rPr>
        <w:t xml:space="preserve"> terms would be considered exemptions, but as a convenient short hand we refer to the full range of concessions (including </w:t>
      </w:r>
      <m:oMath>
        <m:r>
          <w:rPr>
            <w:rFonts w:ascii="Cambria Math" w:eastAsia="Times New Roman" w:hAnsi="Cambria Math"/>
            <w:shd w:val="clear" w:color="auto" w:fill="FFFFFF"/>
          </w:rPr>
          <m:t>θ</m:t>
        </m:r>
      </m:oMath>
      <w:r w:rsidRPr="000B46D7">
        <w:rPr>
          <w:rFonts w:eastAsia="Times New Roman"/>
          <w:shd w:val="clear" w:color="auto" w:fill="FFFFFF"/>
        </w:rPr>
        <w:t xml:space="preserve"> and </w:t>
      </w:r>
      <m:oMath>
        <m:r>
          <w:rPr>
            <w:rFonts w:ascii="Cambria Math" w:eastAsia="Times New Roman" w:hAnsi="Cambria Math"/>
            <w:shd w:val="clear" w:color="auto" w:fill="FFFFFF"/>
          </w:rPr>
          <m:t>ϕ</m:t>
        </m:r>
      </m:oMath>
      <w:r w:rsidRPr="000B46D7">
        <w:rPr>
          <w:rFonts w:eastAsia="Times New Roman"/>
          <w:shd w:val="clear" w:color="auto" w:fill="FFFFFF"/>
        </w:rPr>
        <w:t xml:space="preserve"> as well as </w:t>
      </w:r>
      <m:oMath>
        <m:r>
          <w:rPr>
            <w:rFonts w:ascii="Cambria Math" w:eastAsia="Times New Roman" w:hAnsi="Cambria Math"/>
            <w:shd w:val="clear" w:color="auto" w:fill="FFFFFF"/>
          </w:rPr>
          <m:t>δ</m:t>
        </m:r>
      </m:oMath>
      <w:r w:rsidRPr="000B46D7">
        <w:rPr>
          <w:rFonts w:eastAsia="Times New Roman"/>
          <w:shd w:val="clear" w:color="auto" w:fill="FFFFFF"/>
        </w:rPr>
        <w:t xml:space="preserve">) as </w:t>
      </w:r>
      <w:r w:rsidR="005500B0" w:rsidRPr="000B46D7">
        <w:rPr>
          <w:rFonts w:eastAsia="Times New Roman"/>
          <w:shd w:val="clear" w:color="auto" w:fill="FFFFFF"/>
        </w:rPr>
        <w:t>"</w:t>
      </w:r>
      <w:r w:rsidRPr="000B46D7">
        <w:rPr>
          <w:rFonts w:eastAsia="Times New Roman"/>
          <w:shd w:val="clear" w:color="auto" w:fill="FFFFFF"/>
        </w:rPr>
        <w:t>exemptions.</w:t>
      </w:r>
      <w:r w:rsidR="005500B0" w:rsidRPr="000B46D7">
        <w:rPr>
          <w:rFonts w:eastAsia="Times New Roman"/>
          <w:shd w:val="clear" w:color="auto" w:fill="FFFFFF"/>
        </w:rPr>
        <w:t>"</w:t>
      </w:r>
    </w:p>
    <w:p w14:paraId="50064B71" w14:textId="0B0BB4AA" w:rsidR="0055094D" w:rsidRPr="000B46D7" w:rsidRDefault="0055094D" w:rsidP="000B46D7">
      <w:pPr>
        <w:widowControl w:val="0"/>
        <w:spacing w:before="120" w:after="120" w:line="360" w:lineRule="auto"/>
        <w:ind w:firstLine="630"/>
        <w:jc w:val="both"/>
        <w:rPr>
          <w:rFonts w:eastAsiaTheme="minorEastAsia"/>
          <w:shd w:val="clear" w:color="auto" w:fill="FFFFFF"/>
        </w:rPr>
      </w:pPr>
      <w:r w:rsidRPr="000B46D7">
        <w:t xml:space="preserve">Merged with data on millage rates (available 1990-2013), these data allow one to simulate how much property tax an individual household of a given demographic category would pay in property taxes in a given jurisdiction, in a given year, on a property with a specified assessed value (assuming the household takes advantage of all exemptions available).  For example, suppose in a particular county that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B</m:t>
            </m:r>
          </m:sup>
        </m:sSubSup>
      </m:oMath>
      <w:r w:rsidR="00285DDA" w:rsidRPr="000B46D7">
        <w:rPr>
          <w:rFonts w:eastAsiaTheme="minorEastAsia"/>
          <w:shd w:val="clear" w:color="auto" w:fill="FFFFFF"/>
        </w:rPr>
        <w:t> </w:t>
      </w:r>
      <w:r w:rsidRPr="000B46D7">
        <w:t>=</w:t>
      </w:r>
      <w:r w:rsidR="00285DDA" w:rsidRPr="000B46D7">
        <w:t xml:space="preserve"> </w:t>
      </w:r>
      <w:r w:rsidRPr="000B46D7">
        <w:t xml:space="preserve">0 so we need only be concerned with taxes on M&amp;O.  Suppose a house has a fair market value of </w:t>
      </w:r>
      <w:r w:rsidRPr="000B46D7">
        <w:rPr>
          <w:i/>
        </w:rPr>
        <w:t>V</w:t>
      </w:r>
      <w:r w:rsidR="00285DDA" w:rsidRPr="000B46D7">
        <w:t> </w:t>
      </w:r>
      <w:r w:rsidRPr="000B46D7">
        <w:t>=</w:t>
      </w:r>
      <w:r w:rsidR="00285DDA" w:rsidRPr="000B46D7">
        <w:t xml:space="preserve"> </w:t>
      </w:r>
      <w:r w:rsidRPr="000B46D7">
        <w:t xml:space="preserve">$200,000 and has an assessment ratio </w:t>
      </w:r>
      <m:oMath>
        <m:sSub>
          <m:sSubPr>
            <m:ctrlPr>
              <w:rPr>
                <w:rFonts w:ascii="Cambria Math" w:eastAsia="Times New Roman" w:hAnsi="Cambria Math"/>
                <w:i/>
                <w:shd w:val="clear" w:color="auto" w:fill="FFFFFF"/>
              </w:rPr>
            </m:ctrlPr>
          </m:sSubPr>
          <m:e>
            <m:r>
              <w:rPr>
                <w:rFonts w:ascii="Cambria Math" w:eastAsia="Times New Roman" w:hAnsi="Cambria Math"/>
                <w:shd w:val="clear" w:color="auto" w:fill="FFFFFF"/>
              </w:rPr>
              <m:t>β</m:t>
            </m:r>
          </m:e>
          <m:sub>
            <m:r>
              <w:rPr>
                <w:rFonts w:ascii="Cambria Math" w:eastAsia="Times New Roman" w:hAnsi="Cambria Math"/>
                <w:shd w:val="clear" w:color="auto" w:fill="FFFFFF"/>
              </w:rPr>
              <m:t>j</m:t>
            </m:r>
          </m:sub>
        </m:sSub>
      </m:oMath>
      <w:r w:rsidR="00285DDA" w:rsidRPr="000B46D7">
        <w:rPr>
          <w:rFonts w:eastAsiaTheme="minorEastAsia"/>
          <w:shd w:val="clear" w:color="auto" w:fill="FFFFFF"/>
        </w:rPr>
        <w:t> </w:t>
      </w:r>
      <w:r w:rsidRPr="000B46D7">
        <w:t>=</w:t>
      </w:r>
      <w:r w:rsidR="00285DDA" w:rsidRPr="000B46D7">
        <w:t xml:space="preserve"> </w:t>
      </w:r>
      <w:r w:rsidRPr="000B46D7">
        <w:t xml:space="preserve">0.4.  Suppose all households regardless of demographic group receive the state exemption of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Sij</m:t>
            </m:r>
          </m:sub>
          <m:sup>
            <m:r>
              <w:rPr>
                <w:rFonts w:ascii="Cambria Math" w:eastAsia="Times New Roman" w:hAnsi="Cambria Math"/>
                <w:shd w:val="clear" w:color="auto" w:fill="FFFFFF"/>
              </w:rPr>
              <m:t>MO</m:t>
            </m:r>
          </m:sup>
        </m:sSubSup>
      </m:oMath>
      <w:r w:rsidR="00285DDA" w:rsidRPr="000B46D7">
        <w:rPr>
          <w:rFonts w:eastAsiaTheme="minorEastAsia"/>
          <w:shd w:val="clear" w:color="auto" w:fill="FFFFFF"/>
        </w:rPr>
        <w:t> </w:t>
      </w:r>
      <w:r w:rsidRPr="000B46D7">
        <w:rPr>
          <w:rFonts w:eastAsiaTheme="minorEastAsia"/>
          <w:shd w:val="clear" w:color="auto" w:fill="FFFFFF"/>
        </w:rPr>
        <w:t>=</w:t>
      </w:r>
      <w:r w:rsidR="00285DDA" w:rsidRPr="000B46D7">
        <w:rPr>
          <w:rFonts w:eastAsiaTheme="minorEastAsia"/>
          <w:shd w:val="clear" w:color="auto" w:fill="FFFFFF"/>
        </w:rPr>
        <w:t xml:space="preserve"> </w:t>
      </w:r>
      <w:r w:rsidRPr="000B46D7">
        <w:rPr>
          <w:rFonts w:eastAsiaTheme="minorEastAsia"/>
          <w:shd w:val="clear" w:color="auto" w:fill="FFFFFF"/>
        </w:rPr>
        <w:t xml:space="preserve">$2,000.  Suppose that households under age 65 can take an additional local exemption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δ</m:t>
            </m:r>
          </m:e>
          <m:sub>
            <m:r>
              <w:rPr>
                <w:rFonts w:ascii="Cambria Math" w:eastAsia="Times New Roman" w:hAnsi="Cambria Math"/>
                <w:shd w:val="clear" w:color="auto" w:fill="FFFFFF"/>
              </w:rPr>
              <m:t>Lij</m:t>
            </m:r>
          </m:sub>
          <m:sup>
            <m:r>
              <w:rPr>
                <w:rFonts w:ascii="Cambria Math" w:eastAsia="Times New Roman" w:hAnsi="Cambria Math"/>
                <w:shd w:val="clear" w:color="auto" w:fill="FFFFFF"/>
              </w:rPr>
              <m:t>MO</m:t>
            </m:r>
          </m:sup>
        </m:sSubSup>
      </m:oMath>
      <w:r w:rsidR="00285DDA" w:rsidRPr="000B46D7">
        <w:rPr>
          <w:rFonts w:eastAsiaTheme="minorEastAsia"/>
          <w:shd w:val="clear" w:color="auto" w:fill="FFFFFF"/>
        </w:rPr>
        <w:t> </w:t>
      </w:r>
      <w:r w:rsidRPr="000B46D7">
        <w:rPr>
          <w:rFonts w:eastAsiaTheme="minorEastAsia"/>
          <w:shd w:val="clear" w:color="auto" w:fill="FFFFFF"/>
        </w:rPr>
        <w:t>=</w:t>
      </w:r>
      <w:r w:rsidR="00285DDA" w:rsidRPr="000B46D7">
        <w:rPr>
          <w:rFonts w:eastAsiaTheme="minorEastAsia"/>
          <w:shd w:val="clear" w:color="auto" w:fill="FFFFFF"/>
        </w:rPr>
        <w:t xml:space="preserve"> </w:t>
      </w:r>
      <w:r w:rsidRPr="000B46D7">
        <w:rPr>
          <w:rFonts w:eastAsiaTheme="minorEastAsia"/>
          <w:shd w:val="clear" w:color="auto" w:fill="FFFFFF"/>
        </w:rPr>
        <w:t xml:space="preserve">$10,000 but households </w:t>
      </w:r>
      <w:r w:rsidRPr="000B46D7">
        <w:rPr>
          <w:rFonts w:eastAsiaTheme="minorEastAsia"/>
          <w:shd w:val="clear" w:color="auto" w:fill="FFFFFF"/>
        </w:rPr>
        <w:lastRenderedPageBreak/>
        <w:t xml:space="preserve">over age 65 can </w:t>
      </w:r>
      <w:r w:rsidRPr="000B46D7">
        <w:rPr>
          <w:rFonts w:eastAsiaTheme="minorEastAsia"/>
          <w:i/>
          <w:shd w:val="clear" w:color="auto" w:fill="FFFFFF"/>
        </w:rPr>
        <w:t>instead</w:t>
      </w:r>
      <w:r w:rsidRPr="000B46D7">
        <w:rPr>
          <w:rFonts w:eastAsiaTheme="minorEastAsia"/>
          <w:shd w:val="clear" w:color="auto" w:fill="FFFFFF"/>
        </w:rPr>
        <w:t xml:space="preserve"> take a proportionate adjustment on its property taxes of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θ</m:t>
            </m:r>
          </m:e>
          <m:sub>
            <m:r>
              <w:rPr>
                <w:rFonts w:ascii="Cambria Math" w:eastAsia="Times New Roman" w:hAnsi="Cambria Math"/>
                <w:shd w:val="clear" w:color="auto" w:fill="FFFFFF"/>
              </w:rPr>
              <m:t>ij</m:t>
            </m:r>
          </m:sub>
          <m:sup>
            <m:r>
              <w:rPr>
                <w:rFonts w:ascii="Cambria Math" w:eastAsia="Times New Roman" w:hAnsi="Cambria Math"/>
                <w:shd w:val="clear" w:color="auto" w:fill="FFFFFF"/>
              </w:rPr>
              <m:t>MO</m:t>
            </m:r>
          </m:sup>
        </m:sSubSup>
      </m:oMath>
      <w:r w:rsidRPr="000B46D7">
        <w:rPr>
          <w:rFonts w:eastAsiaTheme="minorEastAsia"/>
          <w:shd w:val="clear" w:color="auto" w:fill="FFFFFF"/>
        </w:rPr>
        <w:t xml:space="preserve">=0.5.  Finally suppose the millage rate is </w:t>
      </w:r>
      <m:oMath>
        <m:sSubSup>
          <m:sSubSupPr>
            <m:ctrlPr>
              <w:rPr>
                <w:rFonts w:ascii="Cambria Math" w:eastAsia="Times New Roman" w:hAnsi="Cambria Math"/>
                <w:i/>
                <w:shd w:val="clear" w:color="auto" w:fill="FFFFFF"/>
              </w:rPr>
            </m:ctrlPr>
          </m:sSubSupPr>
          <m:e>
            <m:r>
              <w:rPr>
                <w:rFonts w:ascii="Cambria Math" w:eastAsia="Times New Roman" w:hAnsi="Cambria Math"/>
                <w:shd w:val="clear" w:color="auto" w:fill="FFFFFF"/>
              </w:rPr>
              <m:t>τ</m:t>
            </m:r>
          </m:e>
          <m:sub>
            <m:r>
              <w:rPr>
                <w:rFonts w:ascii="Cambria Math" w:eastAsia="Times New Roman" w:hAnsi="Cambria Math"/>
                <w:shd w:val="clear" w:color="auto" w:fill="FFFFFF"/>
              </w:rPr>
              <m:t>j</m:t>
            </m:r>
          </m:sub>
          <m:sup>
            <m:r>
              <w:rPr>
                <w:rFonts w:ascii="Cambria Math" w:eastAsia="Times New Roman" w:hAnsi="Cambria Math"/>
                <w:shd w:val="clear" w:color="auto" w:fill="FFFFFF"/>
              </w:rPr>
              <m:t>MO</m:t>
            </m:r>
          </m:sup>
        </m:sSubSup>
      </m:oMath>
      <w:r w:rsidR="00CD47E5">
        <w:rPr>
          <w:rFonts w:eastAsiaTheme="minorEastAsia"/>
          <w:shd w:val="clear" w:color="auto" w:fill="FFFFFF"/>
        </w:rPr>
        <w:t> </w:t>
      </w:r>
      <w:r w:rsidRPr="000B46D7">
        <w:t>=</w:t>
      </w:r>
      <w:r w:rsidR="00CD47E5">
        <w:t xml:space="preserve"> </w:t>
      </w:r>
      <w:r w:rsidRPr="000B46D7">
        <w:t>20 mills, or 2</w:t>
      </w:r>
      <w:r w:rsidR="00CD47E5">
        <w:t> </w:t>
      </w:r>
      <w:r w:rsidRPr="000B46D7">
        <w:t xml:space="preserve">percent.  </w:t>
      </w:r>
      <w:r w:rsidRPr="000B46D7">
        <w:rPr>
          <w:rFonts w:eastAsiaTheme="minorEastAsia"/>
          <w:shd w:val="clear" w:color="auto" w:fill="FFFFFF"/>
        </w:rPr>
        <w:t>Using Equation (</w:t>
      </w:r>
      <w:r w:rsidR="00493E42">
        <w:rPr>
          <w:rFonts w:eastAsiaTheme="minorEastAsia"/>
          <w:shd w:val="clear" w:color="auto" w:fill="FFFFFF"/>
        </w:rPr>
        <w:t>5</w:t>
      </w:r>
      <w:r w:rsidRPr="000B46D7">
        <w:rPr>
          <w:rFonts w:eastAsiaTheme="minorEastAsia"/>
          <w:shd w:val="clear" w:color="auto" w:fill="FFFFFF"/>
        </w:rPr>
        <w:t>), a younger taxpayer would pay 20*(0.4*$2</w:t>
      </w:r>
      <w:r w:rsidR="00285DDA" w:rsidRPr="000B46D7">
        <w:rPr>
          <w:rFonts w:eastAsiaTheme="minorEastAsia"/>
          <w:shd w:val="clear" w:color="auto" w:fill="FFFFFF"/>
        </w:rPr>
        <w:t>00,000 – $2,000 – $10,000)/1000 </w:t>
      </w:r>
      <w:r w:rsidRPr="000B46D7">
        <w:rPr>
          <w:rFonts w:eastAsiaTheme="minorEastAsia"/>
          <w:shd w:val="clear" w:color="auto" w:fill="FFFFFF"/>
        </w:rPr>
        <w:t>= $1,360.  In contrast, an older taxpayer would pay 0.5*</w:t>
      </w:r>
      <w:r w:rsidR="00285DDA" w:rsidRPr="000B46D7">
        <w:rPr>
          <w:rFonts w:eastAsiaTheme="minorEastAsia"/>
          <w:shd w:val="clear" w:color="auto" w:fill="FFFFFF"/>
        </w:rPr>
        <w:t>20*(0.4*$200,000 – $2,000)/1000 </w:t>
      </w:r>
      <w:r w:rsidRPr="000B46D7">
        <w:rPr>
          <w:rFonts w:eastAsiaTheme="minorEastAsia"/>
          <w:shd w:val="clear" w:color="auto" w:fill="FFFFFF"/>
        </w:rPr>
        <w:t>= $780.</w:t>
      </w:r>
    </w:p>
    <w:p w14:paraId="17F9863F" w14:textId="3ED8FAEB" w:rsidR="00BF1072" w:rsidRPr="000B46D7" w:rsidRDefault="00BF1072" w:rsidP="00BF1072">
      <w:pPr>
        <w:keepNext/>
        <w:widowControl w:val="0"/>
        <w:spacing w:before="120" w:after="120" w:line="360" w:lineRule="auto"/>
        <w:jc w:val="both"/>
        <w:rPr>
          <w:rFonts w:eastAsiaTheme="minorEastAsia"/>
          <w:i/>
        </w:rPr>
      </w:pPr>
      <w:r w:rsidRPr="000B46D7">
        <w:rPr>
          <w:rFonts w:eastAsiaTheme="minorEastAsia"/>
          <w:i/>
        </w:rPr>
        <w:t>3.</w:t>
      </w:r>
      <w:r>
        <w:rPr>
          <w:rFonts w:eastAsiaTheme="minorEastAsia"/>
          <w:i/>
        </w:rPr>
        <w:t>2</w:t>
      </w:r>
      <w:r w:rsidRPr="000B46D7">
        <w:rPr>
          <w:rFonts w:eastAsiaTheme="minorEastAsia"/>
          <w:i/>
        </w:rPr>
        <w:t xml:space="preserve">  Treatment</w:t>
      </w:r>
    </w:p>
    <w:p w14:paraId="5A9FED8F" w14:textId="77777777" w:rsidR="00BF1072" w:rsidRPr="000B46D7" w:rsidRDefault="00BF1072" w:rsidP="00BF1072">
      <w:pPr>
        <w:widowControl w:val="0"/>
        <w:spacing w:before="120" w:after="120" w:line="360" w:lineRule="auto"/>
        <w:ind w:firstLine="720"/>
        <w:jc w:val="both"/>
      </w:pPr>
      <w:r w:rsidRPr="000B46D7">
        <w:t>As discussed above, our unique data include details on local property tax exemptions for county, county schools, city schools, and selected cities.  The unit of observation for our outcomes is the county.  We must therefore aggregate our jurisdiction-level exemptions data to the county level.  In practice, we use two measures of treatment across jurisdictions within a county.</w:t>
      </w:r>
    </w:p>
    <w:p w14:paraId="44697C83" w14:textId="2B44B435" w:rsidR="00BF1072" w:rsidRPr="000B46D7" w:rsidRDefault="00BF1072" w:rsidP="00BF1072">
      <w:pPr>
        <w:widowControl w:val="0"/>
        <w:spacing w:before="120" w:after="120" w:line="360" w:lineRule="auto"/>
        <w:ind w:firstLine="720"/>
        <w:jc w:val="both"/>
        <w:rPr>
          <w:rFonts w:eastAsiaTheme="minorEastAsia"/>
        </w:rPr>
      </w:pPr>
      <w:r w:rsidRPr="000B46D7">
        <w:t xml:space="preserve">The first measure is a simple </w:t>
      </w:r>
      <w:r w:rsidRPr="000B46D7">
        <w:rPr>
          <w:rFonts w:eastAsiaTheme="minorEastAsia"/>
        </w:rPr>
        <w:t xml:space="preserve">housing unit weighted average of indicator variables denoting any treatment in the county and selected cities at time </w:t>
      </w:r>
      <w:r w:rsidRPr="000B46D7">
        <w:rPr>
          <w:rFonts w:eastAsiaTheme="minorEastAsia"/>
          <w:i/>
        </w:rPr>
        <w:t>t</w:t>
      </w:r>
      <w:r w:rsidRPr="000B46D7">
        <w:rPr>
          <w:rFonts w:eastAsiaTheme="minorEastAsia"/>
        </w:rPr>
        <w:t>.  The county indicator equals one if either the county or the county school district has an aged-based property tax law.  The city indicator equals one if either the city or its independent school district has such a law.  We then aggregate these dummies up to the county level.  If no jurisdiction</w:t>
      </w:r>
      <w:r w:rsidR="00DA26D1" w:rsidRPr="000B46D7">
        <w:rPr>
          <w:rFonts w:eastAsiaTheme="minorEastAsia"/>
        </w:rPr>
        <w:t xml:space="preserve"> (for which we have exemption data)</w:t>
      </w:r>
      <w:r w:rsidRPr="000B46D7">
        <w:rPr>
          <w:rFonts w:eastAsiaTheme="minorEastAsia"/>
        </w:rPr>
        <w:t xml:space="preserve"> within county</w:t>
      </w:r>
      <w:r w:rsidR="00DA26D1">
        <w:rPr>
          <w:rFonts w:eastAsiaTheme="minorEastAsia"/>
        </w:rPr>
        <w:t> </w:t>
      </w:r>
      <w:r w:rsidRPr="000B46D7">
        <w:rPr>
          <w:rFonts w:eastAsiaTheme="minorEastAsia"/>
          <w:i/>
        </w:rPr>
        <w:t>j</w:t>
      </w:r>
      <w:r w:rsidRPr="000B46D7">
        <w:rPr>
          <w:rFonts w:eastAsiaTheme="minorEastAsia"/>
        </w:rPr>
        <w:t xml:space="preserve"> has an age-based exemption at time </w:t>
      </w:r>
      <w:r w:rsidRPr="000B46D7">
        <w:rPr>
          <w:rFonts w:eastAsiaTheme="minorEastAsia"/>
          <w:i/>
        </w:rPr>
        <w:t>t</w:t>
      </w:r>
      <w:r w:rsidRPr="000B46D7">
        <w:rPr>
          <w:rFonts w:eastAsiaTheme="minorEastAsia"/>
        </w:rPr>
        <w:t xml:space="preserve">, then this measure is equal to 0.  This measure is equal to 1 if either the county or the county school district has an age-based property tax exemption at time </w:t>
      </w:r>
      <w:r w:rsidRPr="000B46D7">
        <w:rPr>
          <w:rFonts w:eastAsiaTheme="minorEastAsia"/>
          <w:i/>
        </w:rPr>
        <w:t>t</w:t>
      </w:r>
      <w:r w:rsidRPr="000B46D7">
        <w:rPr>
          <w:rFonts w:eastAsiaTheme="minorEastAsia"/>
        </w:rPr>
        <w:t>, with no income test.  In cases where there are city but no county-wide age-based exemptions, we use the housing unit weighted average of the city and county indicators, giving a measure on the unit interval.  Additionally, in cases where there is an income test, we further assigned the treatment to the unit interval, using the proportion of the state's population meeting the income test in that year.  (Using the state's population assures that the treatment is exogenous to the local demographic composition.)  Thus, for example, if the county jurisdictions had no age-based exemption but the county had a city, with half the county's population, with an exemption that included an income test which half the state's population would meet, we would assign the county a treatment value of 0.25 = 0.5*0.5.</w:t>
      </w:r>
    </w:p>
    <w:p w14:paraId="1DDA8735" w14:textId="77777777" w:rsidR="00BF1072" w:rsidRPr="000B46D7" w:rsidRDefault="00BF1072" w:rsidP="00BF1072">
      <w:pPr>
        <w:widowControl w:val="0"/>
        <w:spacing w:before="120" w:after="120" w:line="360" w:lineRule="auto"/>
        <w:ind w:firstLine="720"/>
        <w:jc w:val="both"/>
        <w:rPr>
          <w:rFonts w:eastAsiaTheme="minorEastAsia"/>
        </w:rPr>
      </w:pPr>
      <w:r w:rsidRPr="000B46D7">
        <w:rPr>
          <w:rFonts w:eastAsiaTheme="minorEastAsia"/>
        </w:rPr>
        <w:t xml:space="preserve">Our first measure has a straightforward interpretation as the weighted average of households in county </w:t>
      </w:r>
      <w:r w:rsidRPr="000B46D7">
        <w:rPr>
          <w:rFonts w:eastAsiaTheme="minorEastAsia"/>
          <w:i/>
        </w:rPr>
        <w:t>j</w:t>
      </w:r>
      <w:r w:rsidRPr="000B46D7">
        <w:rPr>
          <w:rFonts w:eastAsiaTheme="minorEastAsia"/>
        </w:rPr>
        <w:t xml:space="preserve"> at time </w:t>
      </w:r>
      <w:r w:rsidRPr="000B46D7">
        <w:rPr>
          <w:rFonts w:eastAsiaTheme="minorEastAsia"/>
          <w:i/>
        </w:rPr>
        <w:t>t</w:t>
      </w:r>
      <w:r w:rsidRPr="000B46D7">
        <w:rPr>
          <w:rFonts w:eastAsiaTheme="minorEastAsia"/>
        </w:rPr>
        <w:t xml:space="preserve"> that reside in a jurisdiction with an age-based property tax exemption (i.e., the housing unit weighted dosage of any treatment in the county).  However, it does not adjust for the intensity of the treatment.  For example, the treatment indicator equals one for a county </w:t>
      </w:r>
      <w:r w:rsidRPr="000B46D7">
        <w:rPr>
          <w:rFonts w:eastAsiaTheme="minorEastAsia"/>
        </w:rPr>
        <w:lastRenderedPageBreak/>
        <w:t xml:space="preserve">with a county school district exemption and no county government exemption.  If the county government adopts an age-based exemption in the subsequent period, then this measure does not change to reflect the increase in benefits associated with the county exemption.  </w:t>
      </w:r>
    </w:p>
    <w:p w14:paraId="6381B905" w14:textId="77777777" w:rsidR="00BF1072" w:rsidRPr="000B46D7" w:rsidRDefault="00BF1072" w:rsidP="00BF1072">
      <w:pPr>
        <w:widowControl w:val="0"/>
        <w:spacing w:before="120" w:after="120" w:line="360" w:lineRule="auto"/>
        <w:ind w:firstLine="720"/>
        <w:jc w:val="both"/>
      </w:pPr>
      <w:r w:rsidRPr="000B46D7">
        <w:rPr>
          <w:rFonts w:eastAsiaTheme="minorEastAsia"/>
        </w:rPr>
        <w:t>In order to represent the intensity of age-based property tax exemption in each jurisdiction, we also consider the housing unit weighted ratio of simulated average property taxes for households under 65 and over 65.  We first simulate the average tax for households aged under 65 and over 65 for each jurisdiction and year in our sample, as described in more detail below.  We then find the county average for each age group as the housing-unit weighted average across the county and any included cities.  Our final measure is the negative of the ratio of the over-65 average simulated property tax bill to the under-65, such that the measure is on [-1, 0] and increasing in the discount for older households.</w:t>
      </w:r>
    </w:p>
    <w:p w14:paraId="02A3DA93" w14:textId="2C202AD4" w:rsidR="00BF1072" w:rsidRPr="000B46D7" w:rsidRDefault="00BF1072" w:rsidP="00BF1072">
      <w:pPr>
        <w:widowControl w:val="0"/>
        <w:spacing w:before="120" w:after="120" w:line="360" w:lineRule="auto"/>
        <w:ind w:firstLine="720"/>
        <w:jc w:val="both"/>
      </w:pPr>
      <w:r w:rsidRPr="000B46D7">
        <w:t xml:space="preserve">We simulate the average tax for households in each covered taxing jurisdiction as follows.  First, we randomly sampled 1,000 households residing in Georgia from the IPUMS </w:t>
      </w:r>
      <w:r w:rsidR="00DA26D1">
        <w:t xml:space="preserve">micro </w:t>
      </w:r>
      <w:r w:rsidRPr="000B46D7">
        <w:t>data for each of the years 1970, 1980, 1990, 2000, and 2010.  Next, we calculate each individual's property taxes, for each of the tax jurisdictions, after applying the various state and local property tax exemptions for which the household is eligible, and combining property taxes across jurisdictions (county, city, school district) into the property tax bill.  In calculating these taxes, we assume each household takes the most generous exemption from the state or the local jurisdiction for which they meet the eligibility criteria.  In other words, if the household is a veteran and over 65 living in a jurisdiction with property tax exemptions for both, then we assume that the household takes the more generous of the two exemptions.  We allow the combination of two exemptions as long as the specific exemptions allowed it.  That is, we calculate the household's property tax in each jurisdiction assuming that the household understands the optimal exemption choices for minimizing their property tax bill and that households take the necessary steps to take advantage of the optimal choice.</w:t>
      </w:r>
      <w:r w:rsidRPr="000B46D7">
        <w:rPr>
          <w:rStyle w:val="FootnoteReference"/>
        </w:rPr>
        <w:footnoteReference w:id="4"/>
      </w:r>
    </w:p>
    <w:p w14:paraId="6304E023" w14:textId="5422A2D7" w:rsidR="00BF1072" w:rsidRPr="000B46D7" w:rsidRDefault="00BF1072" w:rsidP="00BF1072">
      <w:pPr>
        <w:widowControl w:val="0"/>
        <w:spacing w:before="120" w:after="120" w:line="360" w:lineRule="auto"/>
        <w:ind w:firstLine="720"/>
        <w:jc w:val="both"/>
      </w:pPr>
      <w:r w:rsidRPr="000B46D7">
        <w:lastRenderedPageBreak/>
        <w:t xml:space="preserve">Because house values, assessment ratios, and millage rates are likely endogenous in our context, we use </w:t>
      </w:r>
      <w:r w:rsidR="00DA26D1">
        <w:t>"</w:t>
      </w:r>
      <w:r w:rsidRPr="000B46D7">
        <w:t>typical</w:t>
      </w:r>
      <w:r w:rsidR="00DA26D1">
        <w:t>"</w:t>
      </w:r>
      <w:r w:rsidRPr="000B46D7">
        <w:t xml:space="preserve"> values for these variables across all jurisdictions.  We calculated the typical house value for each decade by aggregating county value level data and taking the mean.  The assessment ratio to determine the taxable amount for a house value was standardized to 40%, the legal ratio set by the state</w:t>
      </w:r>
      <w:r w:rsidRPr="000B46D7">
        <w:rPr>
          <w:rStyle w:val="FootnoteReference"/>
        </w:rPr>
        <w:footnoteReference w:id="5"/>
      </w:r>
      <w:r w:rsidRPr="000B46D7">
        <w:t xml:space="preserve">.  We set the typical millage rate as the housing-unit weighted mean of all jurisdictions in the state in 2000, or 13.2 mills.  </w:t>
      </w:r>
    </w:p>
    <w:p w14:paraId="722D5215" w14:textId="00FFB669" w:rsidR="00BF1072" w:rsidRDefault="00BF1072">
      <w:pPr>
        <w:widowControl w:val="0"/>
        <w:spacing w:before="120" w:after="120" w:line="360" w:lineRule="auto"/>
        <w:ind w:firstLine="720"/>
        <w:jc w:val="both"/>
      </w:pPr>
      <w:r w:rsidRPr="000B46D7">
        <w:t>Using the simulated property taxes of each household for each jurisdiction in each year, we found the average tax for each jurisdiction-year pair for two groups:  those households with heads under 65 years old and households with heads 65 or older.  This effectively tells us how generous the exemptions are for older households compared to younger.  We then aggregated the average property taxes for the two groups across jurisdictions in the county using city-county housing unit weights.  Finally, we take the negative of the ratio of the weighted average bill for households 65 or older to the weighted average bill for households under 65 and use this as our intensity-adjusted measure of treatment.</w:t>
      </w:r>
    </w:p>
    <w:p w14:paraId="5E0C69E1" w14:textId="6D0597CF" w:rsidR="008F283B" w:rsidRPr="000B46D7" w:rsidRDefault="008F283B" w:rsidP="00BF1072">
      <w:pPr>
        <w:keepNext/>
        <w:widowControl w:val="0"/>
        <w:spacing w:before="120" w:after="120" w:line="360" w:lineRule="auto"/>
        <w:jc w:val="both"/>
        <w:rPr>
          <w:rFonts w:eastAsiaTheme="minorEastAsia"/>
          <w:i/>
          <w:shd w:val="clear" w:color="auto" w:fill="FFFFFF"/>
        </w:rPr>
      </w:pPr>
      <w:r w:rsidRPr="000B46D7">
        <w:rPr>
          <w:rFonts w:eastAsiaTheme="minorEastAsia"/>
          <w:i/>
          <w:shd w:val="clear" w:color="auto" w:fill="FFFFFF"/>
        </w:rPr>
        <w:t>3.</w:t>
      </w:r>
      <w:r w:rsidR="00BF1072">
        <w:rPr>
          <w:rFonts w:eastAsiaTheme="minorEastAsia"/>
          <w:i/>
          <w:shd w:val="clear" w:color="auto" w:fill="FFFFFF"/>
        </w:rPr>
        <w:t>3</w:t>
      </w:r>
      <w:r w:rsidR="00BF1072" w:rsidRPr="000B46D7">
        <w:rPr>
          <w:rFonts w:eastAsiaTheme="minorEastAsia"/>
          <w:i/>
          <w:shd w:val="clear" w:color="auto" w:fill="FFFFFF"/>
        </w:rPr>
        <w:t xml:space="preserve"> </w:t>
      </w:r>
      <w:r w:rsidRPr="000B46D7">
        <w:rPr>
          <w:rFonts w:eastAsiaTheme="minorEastAsia"/>
          <w:i/>
          <w:shd w:val="clear" w:color="auto" w:fill="FFFFFF"/>
        </w:rPr>
        <w:t>Trends in Age-Based Property Tax Exemptions</w:t>
      </w:r>
    </w:p>
    <w:p w14:paraId="5F2D5AE9" w14:textId="1550BF6F" w:rsidR="003E7372" w:rsidRPr="000B46D7" w:rsidRDefault="008922F6" w:rsidP="000B46D7">
      <w:pPr>
        <w:widowControl w:val="0"/>
        <w:spacing w:before="120" w:after="120" w:line="360" w:lineRule="auto"/>
        <w:ind w:firstLine="720"/>
        <w:jc w:val="both"/>
      </w:pPr>
      <w:r w:rsidRPr="000B46D7">
        <w:t xml:space="preserve">Table 2 presents the percentage of each jurisdiction with an age-specific property tax exemption in the four decades that we study. </w:t>
      </w:r>
      <w:r w:rsidR="00BF1072">
        <w:t xml:space="preserve"> </w:t>
      </w:r>
      <w:r w:rsidRPr="000B46D7">
        <w:t>It reveals two important patterns.</w:t>
      </w:r>
      <w:r w:rsidR="00BF1072">
        <w:t xml:space="preserve">  First, a</w:t>
      </w:r>
      <w:r w:rsidRPr="000B46D7">
        <w:t xml:space="preserve">lthough all types of local governments in Georgia offer age-based property tax exemptions, school districts are much more likely to do so than counties or municipalities. </w:t>
      </w:r>
      <w:r w:rsidR="00BF1072">
        <w:t xml:space="preserve"> </w:t>
      </w:r>
      <w:r w:rsidR="008F283B" w:rsidRPr="000B46D7">
        <w:t xml:space="preserve">For example, in 2010, 54.7% of county school districts </w:t>
      </w:r>
      <w:r w:rsidRPr="000B46D7">
        <w:t xml:space="preserve">and 61.5% of city school districts </w:t>
      </w:r>
      <w:r w:rsidR="008F283B" w:rsidRPr="000B46D7">
        <w:t>offered such exemptions</w:t>
      </w:r>
      <w:r w:rsidRPr="000B46D7">
        <w:t xml:space="preserve"> </w:t>
      </w:r>
      <w:r w:rsidR="008F283B" w:rsidRPr="000B46D7">
        <w:t>compared to 41.5% of counties</w:t>
      </w:r>
      <w:r w:rsidRPr="000B46D7">
        <w:t xml:space="preserve"> and</w:t>
      </w:r>
      <w:r w:rsidR="008F283B" w:rsidRPr="000B46D7">
        <w:t xml:space="preserve"> 36.9% of cities.</w:t>
      </w:r>
      <w:r w:rsidR="00BF1072">
        <w:t xml:space="preserve">  Second</w:t>
      </w:r>
      <w:r w:rsidR="003E7372" w:rsidRPr="000B46D7">
        <w:t xml:space="preserve">, regardless of jurisdiction type, age-targeted </w:t>
      </w:r>
      <w:r w:rsidR="00BF1072">
        <w:t xml:space="preserve">tax </w:t>
      </w:r>
      <w:r w:rsidR="003E7372" w:rsidRPr="000B46D7">
        <w:t>exemptions among Georgia</w:t>
      </w:r>
      <w:r w:rsidR="00BF1072">
        <w:t>'s</w:t>
      </w:r>
      <w:r w:rsidR="003E7372" w:rsidRPr="000B46D7">
        <w:t xml:space="preserve"> local governments </w:t>
      </w:r>
      <w:r w:rsidR="00BF1072" w:rsidRPr="000B46D7">
        <w:t>ha</w:t>
      </w:r>
      <w:r w:rsidR="00BF1072">
        <w:t>ve</w:t>
      </w:r>
      <w:r w:rsidR="00BF1072" w:rsidRPr="000B46D7">
        <w:t xml:space="preserve"> </w:t>
      </w:r>
      <w:r w:rsidR="003E7372" w:rsidRPr="000B46D7">
        <w:t xml:space="preserve">increased over time. </w:t>
      </w:r>
      <w:r w:rsidR="00BF1072">
        <w:t xml:space="preserve"> </w:t>
      </w:r>
      <w:r w:rsidR="003E7372" w:rsidRPr="000B46D7">
        <w:t xml:space="preserve">Indeed, only the rare local government offered them at the start of our analysis period in 1970. </w:t>
      </w:r>
      <w:r w:rsidR="00BF1072">
        <w:t xml:space="preserve"> </w:t>
      </w:r>
      <w:r w:rsidR="000949A5" w:rsidRPr="000B46D7">
        <w:t xml:space="preserve">The next two decades saw a rapid increase in the share of jurisdictions </w:t>
      </w:r>
      <w:r w:rsidR="00854A54" w:rsidRPr="000B46D7">
        <w:t>with som</w:t>
      </w:r>
      <w:r w:rsidR="000949A5" w:rsidRPr="000B46D7">
        <w:t xml:space="preserve">e sort of age-based exemption; and, the percentage roughly doubled from 1990 to 2010. </w:t>
      </w:r>
    </w:p>
    <w:p w14:paraId="0D94942C" w14:textId="0CB410CF" w:rsidR="00285DDA" w:rsidRPr="000B46D7" w:rsidRDefault="008925AF" w:rsidP="000B46D7">
      <w:pPr>
        <w:widowControl w:val="0"/>
        <w:spacing w:before="120" w:after="120" w:line="360" w:lineRule="auto"/>
        <w:ind w:firstLine="720"/>
        <w:jc w:val="both"/>
      </w:pPr>
      <w:r>
        <w:lastRenderedPageBreak/>
        <w:t xml:space="preserve">Figure 1 depicts trends in our two treatment variables over time.  The solid line shows the proportion of all people (not just those over 65) who live in a jurisdiction with some age-based property tax exemption.  The proportion increases from 0.01 in 1970 to 0.59 in 2010.  The dashed line shows the population-weighted average of our tax ratio treatment (i.e. the negative of the ratio of the average tax paid by somebody over 65 to somebody under 65).  It increases from -0.998 </w:t>
      </w:r>
      <w:r w:rsidR="00873F0E">
        <w:t>(very close to the lower bound of -1) to -0.68.</w:t>
      </w:r>
      <w:r w:rsidR="000D0E12">
        <w:t xml:space="preserve"> </w:t>
      </w:r>
      <w:r w:rsidR="00873F0E">
        <w:t xml:space="preserve"> </w:t>
      </w:r>
      <w:r w:rsidR="000D0E12">
        <w:t xml:space="preserve">See </w:t>
      </w:r>
      <w:r w:rsidR="000D0E12" w:rsidRPr="000D0E12">
        <w:t>Banzhaf, Mickey, and Patrick (2016)</w:t>
      </w:r>
      <w:r w:rsidR="000D0E12">
        <w:t xml:space="preserve"> for additional discussion of these trends. </w:t>
      </w:r>
    </w:p>
    <w:p w14:paraId="7E11FC74" w14:textId="13468D22" w:rsidR="00767A26" w:rsidRPr="000B46D7" w:rsidRDefault="00767A26" w:rsidP="000B46D7">
      <w:pPr>
        <w:keepNext/>
        <w:widowControl w:val="0"/>
        <w:spacing w:before="120" w:after="120" w:line="360" w:lineRule="auto"/>
        <w:jc w:val="both"/>
        <w:rPr>
          <w:i/>
        </w:rPr>
      </w:pPr>
      <w:r w:rsidRPr="000B46D7">
        <w:t>3.</w:t>
      </w:r>
      <w:r w:rsidR="003E7372" w:rsidRPr="000B46D7">
        <w:t>4</w:t>
      </w:r>
      <w:r w:rsidRPr="000B46D7">
        <w:t xml:space="preserve">  </w:t>
      </w:r>
      <w:r w:rsidRPr="000B46D7">
        <w:rPr>
          <w:i/>
        </w:rPr>
        <w:t xml:space="preserve">Household </w:t>
      </w:r>
      <w:r w:rsidR="002A7B69">
        <w:rPr>
          <w:i/>
        </w:rPr>
        <w:t>T</w:t>
      </w:r>
      <w:r w:rsidR="002A7B69" w:rsidRPr="000B46D7">
        <w:rPr>
          <w:i/>
        </w:rPr>
        <w:t xml:space="preserve">ypes </w:t>
      </w:r>
      <w:r w:rsidRPr="000B46D7">
        <w:rPr>
          <w:i/>
        </w:rPr>
        <w:t xml:space="preserve">and </w:t>
      </w:r>
      <w:r w:rsidR="002A7B69">
        <w:rPr>
          <w:i/>
        </w:rPr>
        <w:t>H</w:t>
      </w:r>
      <w:r w:rsidR="002A7B69" w:rsidRPr="000B46D7">
        <w:rPr>
          <w:i/>
        </w:rPr>
        <w:t xml:space="preserve">ousing </w:t>
      </w:r>
      <w:r w:rsidRPr="000B46D7">
        <w:rPr>
          <w:i/>
        </w:rPr>
        <w:t>values</w:t>
      </w:r>
    </w:p>
    <w:p w14:paraId="0B384A6A" w14:textId="71C10C71" w:rsidR="00767A26" w:rsidRPr="000B46D7" w:rsidRDefault="00767A26" w:rsidP="000B46D7">
      <w:pPr>
        <w:widowControl w:val="0"/>
        <w:spacing w:before="120" w:after="120" w:line="360" w:lineRule="auto"/>
        <w:ind w:firstLine="720"/>
        <w:jc w:val="both"/>
      </w:pPr>
      <w:r w:rsidRPr="000B46D7">
        <w:t>We analyze our outcomes at the county level due to the availability of Census data over time on household types and housing values.  We use the 1970, 1980, 1990, and 2000 decennial Census</w:t>
      </w:r>
      <w:r w:rsidR="009778DE" w:rsidRPr="000B46D7">
        <w:t>es</w:t>
      </w:r>
      <w:r w:rsidRPr="000B46D7">
        <w:t xml:space="preserve"> as well as the 2008-2012 ACS data for 2010.</w:t>
      </w:r>
      <w:r w:rsidRPr="000B46D7">
        <w:rPr>
          <w:rStyle w:val="FootnoteReference"/>
        </w:rPr>
        <w:footnoteReference w:id="6"/>
      </w:r>
      <w:r w:rsidRPr="000B46D7">
        <w:t xml:space="preserve"> </w:t>
      </w:r>
      <w:r w:rsidR="00AE4EAB" w:rsidRPr="000B46D7">
        <w:t xml:space="preserve"> </w:t>
      </w:r>
      <w:r w:rsidRPr="000B46D7">
        <w:t>Table</w:t>
      </w:r>
      <w:r w:rsidR="009778DE" w:rsidRPr="000B46D7">
        <w:t> </w:t>
      </w:r>
      <w:r w:rsidRPr="000B46D7">
        <w:t>3 Panel</w:t>
      </w:r>
      <w:r w:rsidR="003067B3" w:rsidRPr="000B46D7">
        <w:t> B</w:t>
      </w:r>
      <w:r w:rsidRPr="000B46D7">
        <w:t xml:space="preserve"> summarizes the sample counties' population, household types, and housing values across the years in our panel.  Our sample counties reflect the general trend towards of growth in the Sunbelt over the period, with the average county in our sample seeing consistent decadal increases in population and households.  The average </w:t>
      </w:r>
      <w:r w:rsidR="009778DE" w:rsidRPr="000B46D7">
        <w:t>share of the population aged 65</w:t>
      </w:r>
      <w:r w:rsidRPr="000B46D7">
        <w:t xml:space="preserve">+ increases in the early periods, but remains relatively stable over the later periods and peaks in 2010.  Older households represent a larger share of owner-occupied housing units than population share throughout our sample, with their share rising until it peaks in 2000 and then falling slightly in 2010.  </w:t>
      </w:r>
    </w:p>
    <w:p w14:paraId="098B7657" w14:textId="6AAAE527" w:rsidR="00767A26" w:rsidRPr="000B46D7" w:rsidRDefault="00767A26" w:rsidP="000B46D7">
      <w:pPr>
        <w:widowControl w:val="0"/>
        <w:spacing w:before="120" w:after="120" w:line="360" w:lineRule="auto"/>
        <w:ind w:firstLine="720"/>
        <w:jc w:val="both"/>
      </w:pPr>
      <w:r w:rsidRPr="000B46D7">
        <w:t xml:space="preserve">Perhaps most interesting, though, is the trend in mean housing values by age over the sample period.  The mean value of homes occupied by older households is lower than the mean value of homes occupied by homeowners under 65 for most periods in the sample.  This </w:t>
      </w:r>
      <w:r w:rsidR="009778DE" w:rsidRPr="000B46D7">
        <w:t xml:space="preserve">difference </w:t>
      </w:r>
      <w:r w:rsidRPr="000B46D7">
        <w:t xml:space="preserve">is consistent with the notion that </w:t>
      </w:r>
      <w:r w:rsidR="009778DE" w:rsidRPr="000B46D7">
        <w:t>older households locked into the smaller housing</w:t>
      </w:r>
      <w:r w:rsidRPr="000B46D7">
        <w:t xml:space="preserve"> </w:t>
      </w:r>
      <w:r w:rsidR="009778DE" w:rsidRPr="000B46D7">
        <w:t xml:space="preserve">stock of earlier decades, or that they </w:t>
      </w:r>
      <w:r w:rsidRPr="000B46D7">
        <w:t xml:space="preserve">downsize after their children leave home.  However, the gap between the mean value reported by older and young households is shrinking over time.  By 2010, the average county in our sample has older homeowners occupying housing valued higher than their under 65 counterparts.  This </w:t>
      </w:r>
      <w:r w:rsidR="009778DE" w:rsidRPr="000B46D7">
        <w:t xml:space="preserve">pattern </w:t>
      </w:r>
      <w:r w:rsidRPr="000B46D7">
        <w:t xml:space="preserve">suggests changes in the housing stock consumed by older households </w:t>
      </w:r>
      <w:r w:rsidRPr="000B46D7">
        <w:lastRenderedPageBreak/>
        <w:t>relative to younger households over time.</w:t>
      </w:r>
    </w:p>
    <w:p w14:paraId="00252152" w14:textId="77777777" w:rsidR="005B0EB5" w:rsidRPr="000B46D7" w:rsidRDefault="005B0EB5" w:rsidP="000B46D7">
      <w:pPr>
        <w:pStyle w:val="OurHeading1"/>
        <w:widowControl w:val="0"/>
        <w:contextualSpacing w:val="0"/>
        <w:jc w:val="both"/>
      </w:pPr>
      <w:r w:rsidRPr="000B46D7">
        <w:t>Results</w:t>
      </w:r>
    </w:p>
    <w:p w14:paraId="0D1C79C3" w14:textId="14A10F95" w:rsidR="001D1EDF" w:rsidRPr="000B46D7" w:rsidRDefault="003E7372" w:rsidP="000B46D7">
      <w:pPr>
        <w:pStyle w:val="ListParagraph"/>
        <w:keepNext/>
        <w:widowControl w:val="0"/>
        <w:spacing w:before="120" w:after="120" w:line="360" w:lineRule="auto"/>
        <w:ind w:left="0"/>
        <w:contextualSpacing w:val="0"/>
        <w:jc w:val="both"/>
        <w:rPr>
          <w:i/>
        </w:rPr>
      </w:pPr>
      <w:r w:rsidRPr="000B46D7">
        <w:t>4</w:t>
      </w:r>
      <w:r w:rsidR="009778DE" w:rsidRPr="000B46D7">
        <w:t xml:space="preserve">.1  </w:t>
      </w:r>
      <w:r w:rsidR="00AF4249" w:rsidRPr="000B46D7">
        <w:rPr>
          <w:i/>
        </w:rPr>
        <w:t>The Older Homeowner Effect</w:t>
      </w:r>
    </w:p>
    <w:p w14:paraId="6FCF5A56" w14:textId="7FD8B8E4" w:rsidR="00DB12B5" w:rsidRPr="000B46D7" w:rsidRDefault="00066FD9" w:rsidP="000B46D7">
      <w:pPr>
        <w:widowControl w:val="0"/>
        <w:spacing w:before="120" w:after="120" w:line="360" w:lineRule="auto"/>
        <w:jc w:val="both"/>
        <w:rPr>
          <w:rFonts w:eastAsiaTheme="minorEastAsia"/>
        </w:rPr>
      </w:pPr>
      <w:r w:rsidRPr="000B46D7">
        <w:t>Table</w:t>
      </w:r>
      <w:r w:rsidR="00D11FB2" w:rsidRPr="000B46D7">
        <w:t> </w:t>
      </w:r>
      <w:r w:rsidR="00FB2B95" w:rsidRPr="000B46D7">
        <w:t>4</w:t>
      </w:r>
      <w:r w:rsidRPr="000B46D7">
        <w:t xml:space="preserve"> report</w:t>
      </w:r>
      <w:r w:rsidR="008F3C88" w:rsidRPr="000B46D7">
        <w:t>s</w:t>
      </w:r>
      <w:r w:rsidRPr="000B46D7">
        <w:t xml:space="preserve"> the results of </w:t>
      </w:r>
      <w:r w:rsidR="00254B39" w:rsidRPr="000B46D7">
        <w:t>from six separate regressions of the (log) number of household</w:t>
      </w:r>
      <w:r w:rsidR="0088086E" w:rsidRPr="000B46D7">
        <w:t>s by</w:t>
      </w:r>
      <w:r w:rsidR="00254B39" w:rsidRPr="000B46D7">
        <w:t xml:space="preserve"> type</w:t>
      </w:r>
      <w:r w:rsidR="00C10FA6" w:rsidRPr="000B46D7">
        <w:t xml:space="preserve">.  </w:t>
      </w:r>
      <w:r w:rsidR="000A4CCE" w:rsidRPr="000B46D7">
        <w:t>Column </w:t>
      </w:r>
      <w:r w:rsidR="00254B39" w:rsidRPr="000B46D7">
        <w:t>(1) reports results for the specification in Equation (</w:t>
      </w:r>
      <w:r w:rsidR="00132BF0" w:rsidRPr="000B46D7">
        <w:t>1</w:t>
      </w:r>
      <w:r w:rsidR="00254B39" w:rsidRPr="000B46D7">
        <w:t>)</w:t>
      </w:r>
      <w:r w:rsidR="008F3C88" w:rsidRPr="000B46D7">
        <w:t>, with Year X Owner and Year X Older effects replacing the basic owner and older effects</w:t>
      </w:r>
      <w:r w:rsidR="00C10FA6" w:rsidRPr="000B46D7">
        <w:t xml:space="preserve">.  </w:t>
      </w:r>
      <w:r w:rsidR="000A4CCE" w:rsidRPr="000B46D7">
        <w:t>Column </w:t>
      </w:r>
      <w:r w:rsidR="00254B39" w:rsidRPr="000B46D7">
        <w:t xml:space="preserve">(2) </w:t>
      </w:r>
      <w:r w:rsidR="008F3C88" w:rsidRPr="000B46D7">
        <w:t>further adds</w:t>
      </w:r>
      <w:r w:rsidR="00254B39" w:rsidRPr="000B46D7">
        <w:t xml:space="preserve"> exemption-year and exemption-county fixed effects</w:t>
      </w:r>
      <w:r w:rsidR="00C10FA6" w:rsidRPr="000B46D7">
        <w:t xml:space="preserve">.  </w:t>
      </w:r>
      <w:r w:rsidR="000A4CCE" w:rsidRPr="000B46D7">
        <w:t>Column </w:t>
      </w:r>
      <w:r w:rsidR="00254B39" w:rsidRPr="000B46D7">
        <w:t xml:space="preserve">(3) adds county-age, county-owner, and year-age-urban status fixed effects to the specification in </w:t>
      </w:r>
      <w:r w:rsidR="000A4CCE" w:rsidRPr="000B46D7">
        <w:t>Column </w:t>
      </w:r>
      <w:r w:rsidR="00254B39" w:rsidRPr="000B46D7">
        <w:t>(2)</w:t>
      </w:r>
      <w:r w:rsidR="00C10FA6" w:rsidRPr="000B46D7">
        <w:t xml:space="preserve">.  </w:t>
      </w:r>
      <w:r w:rsidR="008F3C88" w:rsidRPr="000B46D7">
        <w:t xml:space="preserve">The latter variable controls for changes over time in age patterns by urban/rural counties.  </w:t>
      </w:r>
      <w:r w:rsidR="00254B39" w:rsidRPr="000B46D7">
        <w:t>Panel</w:t>
      </w:r>
      <w:r w:rsidR="008F3C88" w:rsidRPr="000B46D7">
        <w:t> </w:t>
      </w:r>
      <w:r w:rsidR="00254B39" w:rsidRPr="000B46D7">
        <w:t xml:space="preserve">A uses the </w:t>
      </w:r>
      <w:r w:rsidR="00254B39" w:rsidRPr="000B46D7">
        <w:rPr>
          <w:rFonts w:eastAsiaTheme="minorEastAsia"/>
        </w:rPr>
        <w:t>housing unit weighted average of indicator variables denoting any age-based property tax exemption in the county and covered cities</w:t>
      </w:r>
      <w:r w:rsidR="00C10FA6" w:rsidRPr="000B46D7">
        <w:rPr>
          <w:rFonts w:eastAsiaTheme="minorEastAsia"/>
        </w:rPr>
        <w:t xml:space="preserve">.  </w:t>
      </w:r>
      <w:r w:rsidR="00254B39" w:rsidRPr="000B46D7">
        <w:rPr>
          <w:rFonts w:eastAsiaTheme="minorEastAsia"/>
        </w:rPr>
        <w:t>Panel</w:t>
      </w:r>
      <w:r w:rsidR="008F3C88" w:rsidRPr="000B46D7">
        <w:rPr>
          <w:rFonts w:eastAsiaTheme="minorEastAsia"/>
        </w:rPr>
        <w:t> </w:t>
      </w:r>
      <w:r w:rsidR="00254B39" w:rsidRPr="000B46D7">
        <w:rPr>
          <w:rFonts w:eastAsiaTheme="minorEastAsia"/>
        </w:rPr>
        <w:t>B uses</w:t>
      </w:r>
      <w:r w:rsidR="008F3C88" w:rsidRPr="000B46D7">
        <w:rPr>
          <w:rFonts w:eastAsiaTheme="minorEastAsia"/>
        </w:rPr>
        <w:t xml:space="preserve"> minus</w:t>
      </w:r>
      <w:r w:rsidR="00254B39" w:rsidRPr="000B46D7">
        <w:rPr>
          <w:rFonts w:eastAsiaTheme="minorEastAsia"/>
        </w:rPr>
        <w:t xml:space="preserve"> the ratio of </w:t>
      </w:r>
      <w:r w:rsidR="008F3C88" w:rsidRPr="000B46D7">
        <w:rPr>
          <w:rFonts w:eastAsiaTheme="minorEastAsia"/>
        </w:rPr>
        <w:t>over</w:t>
      </w:r>
      <w:r w:rsidR="00254B39" w:rsidRPr="000B46D7">
        <w:rPr>
          <w:rFonts w:eastAsiaTheme="minorEastAsia"/>
        </w:rPr>
        <w:t xml:space="preserve"> 65 to </w:t>
      </w:r>
      <w:r w:rsidR="008F3C88" w:rsidRPr="000B46D7">
        <w:rPr>
          <w:rFonts w:eastAsiaTheme="minorEastAsia"/>
        </w:rPr>
        <w:t>under</w:t>
      </w:r>
      <w:r w:rsidR="00254B39" w:rsidRPr="000B46D7">
        <w:rPr>
          <w:rFonts w:eastAsiaTheme="minorEastAsia"/>
        </w:rPr>
        <w:t xml:space="preserve"> 65 simulated property taxes as the measure of the age-based property tax exemption treatment</w:t>
      </w:r>
      <w:r w:rsidR="00FE26E9" w:rsidRPr="000B46D7">
        <w:rPr>
          <w:rFonts w:eastAsiaTheme="minorEastAsia"/>
        </w:rPr>
        <w:t>.</w:t>
      </w:r>
    </w:p>
    <w:p w14:paraId="1AFA5707" w14:textId="6ADA6672" w:rsidR="008F3C88" w:rsidRPr="000B46D7" w:rsidRDefault="00FF37B5" w:rsidP="000B46D7">
      <w:pPr>
        <w:widowControl w:val="0"/>
        <w:spacing w:before="120" w:after="120" w:line="360" w:lineRule="auto"/>
        <w:ind w:firstLine="720"/>
        <w:jc w:val="both"/>
        <w:rPr>
          <w:rFonts w:eastAsiaTheme="minorEastAsia"/>
        </w:rPr>
      </w:pPr>
      <w:r w:rsidRPr="000B46D7">
        <w:rPr>
          <w:rFonts w:eastAsiaTheme="minorEastAsia"/>
        </w:rPr>
        <w:t>Table 4 indicates a statistically significant effect in the quadruple difference from the policy, with an effect of about 0.45 log points when using the aggregation of policy indicator variables as the treatment and about 0.</w:t>
      </w:r>
      <w:r w:rsidR="006A0410" w:rsidRPr="000B46D7">
        <w:rPr>
          <w:rFonts w:eastAsiaTheme="minorEastAsia"/>
        </w:rPr>
        <w:t>6</w:t>
      </w:r>
      <w:r w:rsidR="006A0410">
        <w:rPr>
          <w:rFonts w:eastAsiaTheme="minorEastAsia"/>
        </w:rPr>
        <w:t>3</w:t>
      </w:r>
      <w:r w:rsidR="006A0410" w:rsidRPr="000B46D7">
        <w:rPr>
          <w:rFonts w:eastAsiaTheme="minorEastAsia"/>
        </w:rPr>
        <w:t xml:space="preserve"> </w:t>
      </w:r>
      <w:r w:rsidRPr="000B46D7">
        <w:rPr>
          <w:rFonts w:eastAsiaTheme="minorEastAsia"/>
        </w:rPr>
        <w:t xml:space="preserve">log points when using the simulated tax ratios.  The estimates are robust to specification.  </w:t>
      </w:r>
      <w:r w:rsidR="006A0410">
        <w:rPr>
          <w:rFonts w:eastAsiaTheme="minorEastAsia"/>
        </w:rPr>
        <w:t>Although these coefficients may seem surprisingly large, i</w:t>
      </w:r>
      <w:r w:rsidRPr="000B46D7">
        <w:rPr>
          <w:rFonts w:eastAsiaTheme="minorEastAsia"/>
        </w:rPr>
        <w:t xml:space="preserve">nterpreting these quadruple differences requires caution.  </w:t>
      </w:r>
      <w:r w:rsidR="00203338" w:rsidRPr="000B46D7">
        <w:rPr>
          <w:rFonts w:eastAsiaTheme="minorEastAsia"/>
        </w:rPr>
        <w:t xml:space="preserve">These estimates </w:t>
      </w:r>
      <w:r w:rsidR="006A0410">
        <w:rPr>
          <w:rFonts w:eastAsiaTheme="minorEastAsia"/>
        </w:rPr>
        <w:t xml:space="preserve">do not imply population changes of this magnitude; they </w:t>
      </w:r>
      <w:r w:rsidR="00203338" w:rsidRPr="000B46D7">
        <w:rPr>
          <w:rFonts w:eastAsiaTheme="minorEastAsia"/>
        </w:rPr>
        <w:t xml:space="preserve">imply that the difference-in-differences effect of the exemptions for older owners differs from older renters by about 50% more than the </w:t>
      </w:r>
      <w:r w:rsidR="00E8617F" w:rsidRPr="000B46D7">
        <w:rPr>
          <w:rFonts w:eastAsiaTheme="minorEastAsia"/>
        </w:rPr>
        <w:t>corresponding difference</w:t>
      </w:r>
      <w:r w:rsidR="00203338" w:rsidRPr="000B46D7">
        <w:rPr>
          <w:rFonts w:eastAsiaTheme="minorEastAsia"/>
        </w:rPr>
        <w:t xml:space="preserve"> between younger owners and younger renters.</w:t>
      </w:r>
      <w:r w:rsidR="00D9409C" w:rsidRPr="000B46D7">
        <w:rPr>
          <w:rFonts w:eastAsiaTheme="minorEastAsia"/>
        </w:rPr>
        <w:t xml:space="preserve">  </w:t>
      </w:r>
      <w:r w:rsidR="00E8617F" w:rsidRPr="000B46D7">
        <w:rPr>
          <w:rFonts w:eastAsiaTheme="minorEastAsia"/>
        </w:rPr>
        <w:t xml:space="preserve">Under slightly weaker identifying assumptions, we could identify these two effects separately.  Then the effect on population by tenure (older vs. renter) for younger households can be read from the third row of the table.  It shows a </w:t>
      </w:r>
      <w:r w:rsidR="00E8617F" w:rsidRPr="000B46D7">
        <w:rPr>
          <w:rFonts w:eastAsiaTheme="minorEastAsia"/>
          <w:i/>
        </w:rPr>
        <w:t>decrease</w:t>
      </w:r>
      <w:r w:rsidR="00E8617F" w:rsidRPr="000B46D7">
        <w:rPr>
          <w:rFonts w:eastAsiaTheme="minorEastAsia"/>
        </w:rPr>
        <w:t xml:space="preserve"> of 0.11 to 0.53 log points.  The relative increase on tenure for older households comes from the first row.  Adding the two together would give the total effect on older households, which remains positive.</w:t>
      </w:r>
      <w:r w:rsidR="006A0410">
        <w:rPr>
          <w:rFonts w:eastAsiaTheme="minorEastAsia"/>
        </w:rPr>
        <w:t xml:space="preserve">  Additionally, the magnitude of the estimates must be interpreted as a change from 0 to 1 in a variable which typically lies at the interior of the unit interval.  So, the estimates imply that, for example, a 10% increase in the number of older households qualifying for an exemption, would lead to a 4 to 6 percent increase in the number of older owners, relative to </w:t>
      </w:r>
      <w:r w:rsidR="00A23D86">
        <w:rPr>
          <w:rFonts w:eastAsiaTheme="minorEastAsia"/>
        </w:rPr>
        <w:t>the change in the other groups.</w:t>
      </w:r>
    </w:p>
    <w:p w14:paraId="10E970D3" w14:textId="46BC2737" w:rsidR="008F3C88" w:rsidRPr="000B46D7" w:rsidRDefault="00203338" w:rsidP="000B46D7">
      <w:pPr>
        <w:widowControl w:val="0"/>
        <w:spacing w:before="120" w:after="120" w:line="360" w:lineRule="auto"/>
        <w:ind w:firstLine="720"/>
        <w:jc w:val="both"/>
        <w:rPr>
          <w:rFonts w:eastAsiaTheme="minorEastAsia"/>
        </w:rPr>
      </w:pPr>
      <w:r w:rsidRPr="000B46D7">
        <w:rPr>
          <w:rFonts w:eastAsiaTheme="minorEastAsia"/>
        </w:rPr>
        <w:t xml:space="preserve">Table 5 indicates </w:t>
      </w:r>
      <w:r w:rsidR="00257D59" w:rsidRPr="000B46D7">
        <w:rPr>
          <w:rFonts w:eastAsiaTheme="minorEastAsia"/>
        </w:rPr>
        <w:t>mixed results</w:t>
      </w:r>
      <w:r w:rsidRPr="000B46D7">
        <w:rPr>
          <w:rFonts w:eastAsiaTheme="minorEastAsia"/>
        </w:rPr>
        <w:t xml:space="preserve"> when we allow for county-by-demographic group time </w:t>
      </w:r>
      <w:r w:rsidRPr="000B46D7">
        <w:rPr>
          <w:rFonts w:eastAsiaTheme="minorEastAsia"/>
        </w:rPr>
        <w:lastRenderedPageBreak/>
        <w:t xml:space="preserve">trends.  The effect is about </w:t>
      </w:r>
      <w:r w:rsidR="00257D59" w:rsidRPr="000B46D7">
        <w:rPr>
          <w:rFonts w:eastAsiaTheme="minorEastAsia"/>
        </w:rPr>
        <w:t xml:space="preserve">a </w:t>
      </w:r>
      <w:r w:rsidR="00E8617F" w:rsidRPr="000B46D7">
        <w:rPr>
          <w:rFonts w:eastAsiaTheme="minorEastAsia"/>
        </w:rPr>
        <w:t>2 percent change</w:t>
      </w:r>
      <w:r w:rsidRPr="000B46D7">
        <w:rPr>
          <w:rFonts w:eastAsiaTheme="minorEastAsia"/>
        </w:rPr>
        <w:t xml:space="preserve"> in Panel A of Table 5</w:t>
      </w:r>
      <w:r w:rsidR="00E8617F" w:rsidRPr="000B46D7">
        <w:rPr>
          <w:rFonts w:eastAsiaTheme="minorEastAsia"/>
        </w:rPr>
        <w:t>, and not statistically significant</w:t>
      </w:r>
      <w:r w:rsidRPr="000B46D7">
        <w:rPr>
          <w:rFonts w:eastAsiaTheme="minorEastAsia"/>
        </w:rPr>
        <w:t xml:space="preserve">.  In Panel B, using the simulated tax ratio, the effect </w:t>
      </w:r>
      <w:r w:rsidR="00257D59" w:rsidRPr="000B46D7">
        <w:rPr>
          <w:rFonts w:eastAsiaTheme="minorEastAsia"/>
        </w:rPr>
        <w:t>is 69 percentage points, roughly equivalent to the 0.62 log points from Table 4</w:t>
      </w:r>
      <w:r w:rsidRPr="000B46D7">
        <w:rPr>
          <w:rFonts w:eastAsiaTheme="minorEastAsia"/>
        </w:rPr>
        <w:t>.</w:t>
      </w:r>
    </w:p>
    <w:p w14:paraId="0B1EFC87" w14:textId="57991262" w:rsidR="00006E38" w:rsidRPr="000B46D7" w:rsidRDefault="003E7372" w:rsidP="000B46D7">
      <w:pPr>
        <w:pStyle w:val="ListParagraph"/>
        <w:keepNext/>
        <w:widowControl w:val="0"/>
        <w:spacing w:before="120" w:after="120" w:line="360" w:lineRule="auto"/>
        <w:ind w:left="0"/>
        <w:contextualSpacing w:val="0"/>
        <w:jc w:val="both"/>
        <w:rPr>
          <w:i/>
        </w:rPr>
      </w:pPr>
      <w:r w:rsidRPr="000B46D7">
        <w:t>4</w:t>
      </w:r>
      <w:r w:rsidR="00006E38" w:rsidRPr="000B46D7">
        <w:t xml:space="preserve">.2  </w:t>
      </w:r>
      <w:r w:rsidR="00AF4249" w:rsidRPr="000B46D7">
        <w:rPr>
          <w:i/>
        </w:rPr>
        <w:t>The Housing Consumption Effect</w:t>
      </w:r>
    </w:p>
    <w:p w14:paraId="48E03527" w14:textId="1C4160EF" w:rsidR="00F24B63" w:rsidRPr="000B46D7" w:rsidRDefault="00B01857" w:rsidP="000B46D7">
      <w:pPr>
        <w:widowControl w:val="0"/>
        <w:spacing w:before="120" w:after="120" w:line="360" w:lineRule="auto"/>
        <w:ind w:firstLine="720"/>
        <w:jc w:val="both"/>
      </w:pPr>
      <w:r w:rsidRPr="000B46D7">
        <w:t>Tables</w:t>
      </w:r>
      <w:r w:rsidR="0088086E" w:rsidRPr="000B46D7">
        <w:t xml:space="preserve"> </w:t>
      </w:r>
      <w:r w:rsidR="00FB2B95" w:rsidRPr="000B46D7">
        <w:t xml:space="preserve">6 </w:t>
      </w:r>
      <w:r w:rsidR="0088086E" w:rsidRPr="000B46D7">
        <w:t xml:space="preserve">and </w:t>
      </w:r>
      <w:r w:rsidR="00FB2B95" w:rsidRPr="000B46D7">
        <w:t>7</w:t>
      </w:r>
      <w:r w:rsidR="0088086E" w:rsidRPr="000B46D7">
        <w:t xml:space="preserve"> present estimates of the change in counties</w:t>
      </w:r>
      <w:r w:rsidR="005500B0" w:rsidRPr="000B46D7">
        <w:t>'</w:t>
      </w:r>
      <w:r w:rsidR="0088086E" w:rsidRPr="000B46D7">
        <w:t xml:space="preserve"> (log) mean housing values by age and percent</w:t>
      </w:r>
      <w:r w:rsidR="009502A3" w:rsidRPr="000B46D7">
        <w:t>age</w:t>
      </w:r>
      <w:r w:rsidR="0088086E" w:rsidRPr="000B46D7">
        <w:t xml:space="preserve"> change in mean housing values by age, respectively</w:t>
      </w:r>
      <w:r w:rsidR="00C10FA6" w:rsidRPr="000B46D7">
        <w:t xml:space="preserve">.  </w:t>
      </w:r>
      <w:r w:rsidR="000A4CCE" w:rsidRPr="000B46D7">
        <w:t>Column </w:t>
      </w:r>
      <w:r w:rsidR="00F24B63" w:rsidRPr="000B46D7">
        <w:t>(1) reports results for the specification in Equation (</w:t>
      </w:r>
      <w:r w:rsidR="00132BF0" w:rsidRPr="000B46D7">
        <w:t>1</w:t>
      </w:r>
      <w:r w:rsidR="00F24B63" w:rsidRPr="000B46D7">
        <w:t>)</w:t>
      </w:r>
      <w:r w:rsidR="00C10FA6" w:rsidRPr="000B46D7">
        <w:t xml:space="preserve">.  </w:t>
      </w:r>
      <w:r w:rsidR="000A4CCE" w:rsidRPr="000B46D7">
        <w:t>Column </w:t>
      </w:r>
      <w:r w:rsidR="00F24B63" w:rsidRPr="000B46D7">
        <w:t>(2) replaces the county and decade fixed effects in Equation (</w:t>
      </w:r>
      <w:r w:rsidR="00132BF0" w:rsidRPr="000B46D7">
        <w:t>1</w:t>
      </w:r>
      <w:r w:rsidR="00F24B63" w:rsidRPr="000B46D7">
        <w:t>) with exemption-year and exemption-county interactions</w:t>
      </w:r>
      <w:r w:rsidR="00C10FA6" w:rsidRPr="000B46D7">
        <w:t xml:space="preserve">.  </w:t>
      </w:r>
      <w:r w:rsidR="000A4CCE" w:rsidRPr="000B46D7">
        <w:t>Column </w:t>
      </w:r>
      <w:r w:rsidR="00F24B63" w:rsidRPr="000B46D7">
        <w:t>(3) adds county-age, year-age</w:t>
      </w:r>
      <w:r w:rsidR="009502A3" w:rsidRPr="000B46D7">
        <w:t xml:space="preserve"> and year</w:t>
      </w:r>
      <w:r w:rsidR="00F24B63" w:rsidRPr="000B46D7">
        <w:t xml:space="preserve">-urban status interactions to the specification in </w:t>
      </w:r>
      <w:r w:rsidR="000A4CCE" w:rsidRPr="000B46D7">
        <w:t>Column </w:t>
      </w:r>
      <w:r w:rsidR="00F24B63" w:rsidRPr="000B46D7">
        <w:t>(2)</w:t>
      </w:r>
      <w:r w:rsidR="00C10FA6" w:rsidRPr="000B46D7">
        <w:t xml:space="preserve">.  </w:t>
      </w:r>
      <w:r w:rsidR="009502A3" w:rsidRPr="000B46D7">
        <w:t>(Note we no longer include year-age-urban, as we no longer have renters in the data, and little variation would remain when interacting age with year and a spatial variable.)</w:t>
      </w:r>
    </w:p>
    <w:p w14:paraId="13624C53" w14:textId="3F7B07A3" w:rsidR="001D1EDF" w:rsidRPr="000B46D7" w:rsidRDefault="0088086E" w:rsidP="000B46D7">
      <w:pPr>
        <w:widowControl w:val="0"/>
        <w:spacing w:before="120" w:after="120" w:line="360" w:lineRule="auto"/>
        <w:ind w:firstLine="720"/>
        <w:jc w:val="both"/>
      </w:pPr>
      <w:r w:rsidRPr="000B46D7">
        <w:t>The results suggest that property tax exemption also increase</w:t>
      </w:r>
      <w:r w:rsidR="00EF18AC">
        <w:t>s</w:t>
      </w:r>
      <w:r w:rsidRPr="000B46D7">
        <w:t xml:space="preserve"> housing consumption by ol</w:t>
      </w:r>
      <w:r w:rsidR="00F24B63" w:rsidRPr="000B46D7">
        <w:t>der households, albeit the effect appears weaker than the combined effects on location choice and tenure</w:t>
      </w:r>
      <w:r w:rsidR="00C10FA6" w:rsidRPr="000B46D7">
        <w:t xml:space="preserve">.  </w:t>
      </w:r>
      <w:r w:rsidR="00F24B63" w:rsidRPr="000B46D7">
        <w:t xml:space="preserve">Table </w:t>
      </w:r>
      <w:r w:rsidR="00FB2B95" w:rsidRPr="000B46D7">
        <w:t>6</w:t>
      </w:r>
      <w:r w:rsidR="00F24B63" w:rsidRPr="000B46D7">
        <w:t xml:space="preserve"> Panel A Columns (1) and (2) report a 13 </w:t>
      </w:r>
      <w:r w:rsidR="009502A3" w:rsidRPr="000B46D7">
        <w:t>log-point</w:t>
      </w:r>
      <w:r w:rsidR="00F24B63" w:rsidRPr="000B46D7">
        <w:t xml:space="preserve"> increase in the mean house value reported by </w:t>
      </w:r>
      <w:r w:rsidR="00023567" w:rsidRPr="000B46D7">
        <w:t xml:space="preserve">older </w:t>
      </w:r>
      <w:r w:rsidR="00F24B63" w:rsidRPr="000B46D7">
        <w:t xml:space="preserve">households </w:t>
      </w:r>
      <w:r w:rsidR="00023567" w:rsidRPr="000B46D7">
        <w:t>from an age-based property tax exemption for all eligible households in the county</w:t>
      </w:r>
      <w:r w:rsidR="00C10FA6" w:rsidRPr="000B46D7">
        <w:t xml:space="preserve">.  </w:t>
      </w:r>
      <w:r w:rsidR="00023567" w:rsidRPr="000B46D7">
        <w:t>This increase is net of the change in mean housing values for younger households in the treated counties and the change in untreated counties</w:t>
      </w:r>
      <w:r w:rsidR="00C10FA6" w:rsidRPr="000B46D7">
        <w:t xml:space="preserve">.  </w:t>
      </w:r>
      <w:r w:rsidR="00023567" w:rsidRPr="000B46D7">
        <w:t xml:space="preserve">Panel A </w:t>
      </w:r>
      <w:r w:rsidR="000A4CCE" w:rsidRPr="000B46D7">
        <w:t>Column </w:t>
      </w:r>
      <w:r w:rsidR="00023567" w:rsidRPr="000B46D7">
        <w:t xml:space="preserve">(3) indicates an </w:t>
      </w:r>
      <w:r w:rsidR="001A6A23" w:rsidRPr="000B46D7">
        <w:t>less p</w:t>
      </w:r>
      <w:r w:rsidR="00023567" w:rsidRPr="000B46D7">
        <w:t xml:space="preserve">recisely estimated increase of about 5 </w:t>
      </w:r>
      <w:r w:rsidR="009502A3" w:rsidRPr="000B46D7">
        <w:t>log points</w:t>
      </w:r>
      <w:r w:rsidR="00C10FA6" w:rsidRPr="000B46D7">
        <w:t xml:space="preserve">.  </w:t>
      </w:r>
      <w:r w:rsidR="00E26402" w:rsidRPr="000B46D7">
        <w:t xml:space="preserve">Using the simulated tax ratio as our measure of treatment </w:t>
      </w:r>
      <w:r w:rsidR="009502A3" w:rsidRPr="000B46D7">
        <w:t xml:space="preserve">(Panel B) </w:t>
      </w:r>
      <w:r w:rsidR="00E26402" w:rsidRPr="000B46D7">
        <w:t xml:space="preserve">produces </w:t>
      </w:r>
      <w:r w:rsidR="009502A3" w:rsidRPr="000B46D7">
        <w:t>similar effects, ranging from 10 to 13 log points.</w:t>
      </w:r>
    </w:p>
    <w:p w14:paraId="6F442F8A" w14:textId="6AEEB8F0" w:rsidR="002520F1" w:rsidRPr="000B46D7" w:rsidRDefault="002520F1" w:rsidP="000B46D7">
      <w:pPr>
        <w:widowControl w:val="0"/>
        <w:spacing w:before="120" w:after="120" w:line="360" w:lineRule="auto"/>
        <w:ind w:firstLine="720"/>
        <w:jc w:val="both"/>
      </w:pPr>
      <w:r w:rsidRPr="000B46D7">
        <w:t xml:space="preserve">Table </w:t>
      </w:r>
      <w:r w:rsidR="00FB2B95" w:rsidRPr="000B46D7">
        <w:t>7</w:t>
      </w:r>
      <w:r w:rsidRPr="000B46D7">
        <w:t xml:space="preserve"> reveals a similar pattern for our estimates of the percent </w:t>
      </w:r>
      <w:r w:rsidRPr="000B46D7">
        <w:rPr>
          <w:i/>
        </w:rPr>
        <w:t>change</w:t>
      </w:r>
      <w:r w:rsidRPr="000B46D7">
        <w:t xml:space="preserve"> in counties</w:t>
      </w:r>
      <w:r w:rsidR="005500B0" w:rsidRPr="000B46D7">
        <w:t>'</w:t>
      </w:r>
      <w:r w:rsidRPr="000B46D7">
        <w:t xml:space="preserve"> mean housing values by ag</w:t>
      </w:r>
      <w:r w:rsidR="001A6A23" w:rsidRPr="000B46D7">
        <w:t xml:space="preserve">e, with mean housing values increasing by approximately 8 percent using </w:t>
      </w:r>
      <w:r w:rsidR="006D0533" w:rsidRPr="000B46D7">
        <w:t>the housing</w:t>
      </w:r>
      <w:r w:rsidR="006D0533">
        <w:t xml:space="preserve"> </w:t>
      </w:r>
      <w:r w:rsidR="001A6A23" w:rsidRPr="000B46D7">
        <w:t>unit</w:t>
      </w:r>
      <w:r w:rsidR="006D0533">
        <w:t xml:space="preserve"> </w:t>
      </w:r>
      <w:r w:rsidR="001A6A23" w:rsidRPr="000B46D7">
        <w:t>weighted indicator of treatment in Panel A Columns 1 and 2 and 41 percent using the simulated treatment measure in Panel B Columns 4 and 5. Columns 3 and 6</w:t>
      </w:r>
      <w:r w:rsidR="006D0533">
        <w:t xml:space="preserve"> </w:t>
      </w:r>
      <w:r w:rsidR="001A6A23" w:rsidRPr="000B46D7">
        <w:t>indic</w:t>
      </w:r>
      <w:r w:rsidR="005376FA" w:rsidRPr="000B46D7">
        <w:t>ate a decrease in the percent change</w:t>
      </w:r>
      <w:r w:rsidR="00AD122D" w:rsidRPr="000B46D7">
        <w:t xml:space="preserve"> when we add additional controls for decade-by-age and decade-by-urban effects</w:t>
      </w:r>
      <w:r w:rsidR="005376FA" w:rsidRPr="000B46D7">
        <w:t>, although these estimates are less precisely estimated.</w:t>
      </w:r>
    </w:p>
    <w:p w14:paraId="49AF92A0" w14:textId="4ABE2D05" w:rsidR="00930DC1" w:rsidRPr="000B46D7" w:rsidRDefault="00930DC1" w:rsidP="000B46D7">
      <w:pPr>
        <w:widowControl w:val="0"/>
        <w:spacing w:before="120" w:after="120" w:line="360" w:lineRule="auto"/>
        <w:ind w:firstLine="720"/>
        <w:jc w:val="both"/>
      </w:pPr>
      <w:r w:rsidRPr="000B46D7">
        <w:t>Th</w:t>
      </w:r>
      <w:r w:rsidR="005376FA" w:rsidRPr="000B46D7">
        <w:t>e</w:t>
      </w:r>
      <w:r w:rsidRPr="000B46D7">
        <w:t xml:space="preserve"> results</w:t>
      </w:r>
      <w:r w:rsidR="005376FA" w:rsidRPr="000B46D7">
        <w:t xml:space="preserve"> in Tables 6 and 7 generally</w:t>
      </w:r>
      <w:r w:rsidRPr="000B46D7">
        <w:t xml:space="preserve"> suggest that the reductions in the user cost of housing conferred by age-based property tax exemptions effect older households</w:t>
      </w:r>
      <w:r w:rsidR="005500B0" w:rsidRPr="000B46D7">
        <w:t>'</w:t>
      </w:r>
      <w:r w:rsidRPr="000B46D7">
        <w:t xml:space="preserve"> decision on the intensive margin as well as the extensive margin</w:t>
      </w:r>
      <w:r w:rsidR="00C10FA6" w:rsidRPr="000B46D7">
        <w:t xml:space="preserve">.  </w:t>
      </w:r>
      <w:r w:rsidR="00C92AC8" w:rsidRPr="000B46D7">
        <w:t>Our results, however, do not tell us whether the increase in housing con</w:t>
      </w:r>
      <w:r w:rsidRPr="000B46D7">
        <w:t xml:space="preserve">sumption </w:t>
      </w:r>
      <w:r w:rsidR="00C92AC8" w:rsidRPr="000B46D7">
        <w:t>occurs through purchases of more housing capital than households</w:t>
      </w:r>
      <w:r w:rsidR="005500B0" w:rsidRPr="000B46D7">
        <w:t>'</w:t>
      </w:r>
      <w:r w:rsidR="00C92AC8" w:rsidRPr="000B46D7">
        <w:t xml:space="preserve"> otherwise would consume or through foregone liquidation of current homes</w:t>
      </w:r>
      <w:r w:rsidR="00C10FA6" w:rsidRPr="000B46D7">
        <w:t xml:space="preserve">.  </w:t>
      </w:r>
      <w:r w:rsidR="00C92AC8" w:rsidRPr="000B46D7">
        <w:t xml:space="preserve">The latter may </w:t>
      </w:r>
      <w:r w:rsidR="00C92AC8" w:rsidRPr="000B46D7">
        <w:lastRenderedPageBreak/>
        <w:t>be welfare enhancing to the extent that the foregone liquidations are prevented moves by older households that value their homes more than the marginal buyer (Shan 2010).</w:t>
      </w:r>
    </w:p>
    <w:p w14:paraId="78A53095" w14:textId="6339C606" w:rsidR="00E52C98" w:rsidRPr="000B46D7" w:rsidRDefault="00E52C98" w:rsidP="000B46D7">
      <w:pPr>
        <w:pStyle w:val="ListParagraph"/>
        <w:keepNext/>
        <w:widowControl w:val="0"/>
        <w:spacing w:before="120" w:after="120" w:line="360" w:lineRule="auto"/>
        <w:ind w:left="0"/>
        <w:contextualSpacing w:val="0"/>
        <w:jc w:val="both"/>
        <w:rPr>
          <w:i/>
        </w:rPr>
      </w:pPr>
      <w:r w:rsidRPr="000B46D7">
        <w:t xml:space="preserve">4.3  </w:t>
      </w:r>
      <w:r w:rsidRPr="000B46D7">
        <w:rPr>
          <w:i/>
        </w:rPr>
        <w:t>The Sorting Model</w:t>
      </w:r>
    </w:p>
    <w:p w14:paraId="22E3D408" w14:textId="11CE1632" w:rsidR="00E52C98" w:rsidRPr="000B46D7" w:rsidRDefault="006E7F74" w:rsidP="000B46D7">
      <w:pPr>
        <w:widowControl w:val="0"/>
        <w:spacing w:before="120" w:after="120" w:line="360" w:lineRule="auto"/>
        <w:ind w:firstLine="720"/>
        <w:jc w:val="both"/>
      </w:pPr>
      <w:r w:rsidRPr="000B46D7">
        <w:t>Table 8a shows the estimated parameters of the sorting model</w:t>
      </w:r>
      <w:r w:rsidR="006D0533">
        <w:t xml:space="preserve"> described in equation (3)</w:t>
      </w:r>
      <w:r w:rsidRPr="000B46D7">
        <w:t xml:space="preserve">.  It shows all coefficients for the policy are of the expected sign and statistically significant, including the main treatment variable for older households when choosing owner-occupied units.  Younger owners also are attracted to the policy, which makes sense if they are forward looking.  The parameters are in utils, which are hard to interpret in isolation.  </w:t>
      </w:r>
    </w:p>
    <w:p w14:paraId="369A9E3F" w14:textId="3B796804" w:rsidR="006E7F74" w:rsidRPr="000B46D7" w:rsidRDefault="006E7F74" w:rsidP="000B46D7">
      <w:pPr>
        <w:widowControl w:val="0"/>
        <w:spacing w:before="120" w:after="120" w:line="360" w:lineRule="auto"/>
        <w:ind w:firstLine="720"/>
        <w:jc w:val="both"/>
      </w:pPr>
      <w:r w:rsidRPr="000B46D7">
        <w:t xml:space="preserve">Accordingly, Table 8b simulates </w:t>
      </w:r>
      <w:r w:rsidR="001D42F7">
        <w:t xml:space="preserve">a counterfactual scenario in which </w:t>
      </w:r>
      <w:r w:rsidRPr="000B46D7">
        <w:t xml:space="preserve">Cobb County </w:t>
      </w:r>
      <w:r w:rsidR="001D42F7">
        <w:t>had not introduced</w:t>
      </w:r>
      <w:r w:rsidRPr="000B46D7">
        <w:t xml:space="preserve"> their generous policy of 100% tax exemptions on school </w:t>
      </w:r>
      <w:r w:rsidR="001D42F7">
        <w:t>taxes</w:t>
      </w:r>
      <w:r w:rsidRPr="000B46D7">
        <w:t xml:space="preserve">, and </w:t>
      </w:r>
      <w:r w:rsidR="001D42F7">
        <w:t xml:space="preserve">had instead </w:t>
      </w:r>
      <w:r w:rsidRPr="000B46D7">
        <w:t>treat</w:t>
      </w:r>
      <w:r w:rsidR="001D42F7">
        <w:t>ed</w:t>
      </w:r>
      <w:r w:rsidRPr="000B46D7">
        <w:t xml:space="preserve"> older households on par with younger ones.  The first two columns use the utility parameters from Model A in Table 8A, the last two use Model B.  Although we do not know the supply elasticity, nor have we estimated the price elasticies of demand, we can still bound the population changes.  At one end, we can assume perfectly elastic supply, so there are no price changes.  At the other end, we can assume perfectly inelastic housing supply and assume the price elasticities are the same for all households; then relative population proportions among types and tenure status would be the same as the perfectly elastic case, but total population would be constant.  </w:t>
      </w:r>
    </w:p>
    <w:p w14:paraId="2C165F7B" w14:textId="02E9B770" w:rsidR="00E52C98" w:rsidRPr="000B46D7" w:rsidRDefault="00D22624" w:rsidP="000B46D7">
      <w:pPr>
        <w:widowControl w:val="0"/>
        <w:spacing w:before="120" w:after="120" w:line="360" w:lineRule="auto"/>
        <w:ind w:firstLine="720"/>
        <w:jc w:val="both"/>
      </w:pPr>
      <w:r w:rsidRPr="000B46D7">
        <w:t>We predict large decreases in the population of older owners, from 7,600 to 11,700 households depending on the model, or 31% to 54%.  In most models, young renters decline as well</w:t>
      </w:r>
      <w:r w:rsidR="001D42F7">
        <w:t xml:space="preserve"> (although the effect depends on the assumed elasticity of housing supply)</w:t>
      </w:r>
      <w:r w:rsidRPr="000B46D7">
        <w:t>, whereas renters increase slightly, with bigger increases under the assumption of more inelastic supply.</w:t>
      </w:r>
      <w:r w:rsidR="00C974ED">
        <w:t xml:space="preserve">  However, to put these changes in perspective, </w:t>
      </w:r>
      <w:r w:rsidR="006D0533">
        <w:t>the results suggest</w:t>
      </w:r>
      <w:r w:rsidR="00C974ED">
        <w:t xml:space="preserve"> more modest changes as a percent of overall number of households in the county.  For example, in the first column, the predicted decline in older owners represents 3.2% of the county's households.  Because </w:t>
      </w:r>
      <w:r w:rsidR="006D0533">
        <w:t xml:space="preserve">we are assuming an inelastic supply of housing </w:t>
      </w:r>
      <w:r w:rsidR="00C974ED">
        <w:t>in this model, these losses are exactly offset by gains, with an increase in young renters equal to 2.2% of the county's households, an increase in young owners of 0.8% and an increase in older renters of 0.2%.  Because they are derived from an equilibrium model, these should be interpreted as long run (~10 year) responses.</w:t>
      </w:r>
    </w:p>
    <w:p w14:paraId="188FD504" w14:textId="40B1E1CD" w:rsidR="003073E6" w:rsidRPr="000B46D7" w:rsidRDefault="003073E6" w:rsidP="000B46D7">
      <w:pPr>
        <w:pStyle w:val="OurHeading1"/>
        <w:widowControl w:val="0"/>
        <w:contextualSpacing w:val="0"/>
        <w:jc w:val="both"/>
      </w:pPr>
      <w:r w:rsidRPr="000B46D7">
        <w:lastRenderedPageBreak/>
        <w:t>Conclusions</w:t>
      </w:r>
    </w:p>
    <w:p w14:paraId="26D395F9" w14:textId="7A072B31" w:rsidR="00BC354B" w:rsidRPr="000B46D7" w:rsidRDefault="00767B92" w:rsidP="000B46D7">
      <w:pPr>
        <w:widowControl w:val="0"/>
        <w:spacing w:before="120" w:after="120" w:line="360" w:lineRule="auto"/>
        <w:ind w:firstLine="720"/>
        <w:jc w:val="both"/>
      </w:pPr>
      <w:r w:rsidRPr="000B46D7">
        <w:t>Age-based property tax exemptions are likely to continue to be an important and controversial policy tool in the current environment of increasing property values, shifting property tax burdens towards residential property, declining property tax bases, and increased pressure for decentralized provision of public goods</w:t>
      </w:r>
      <w:r w:rsidR="00C10FA6" w:rsidRPr="000B46D7">
        <w:t xml:space="preserve">.  </w:t>
      </w:r>
      <w:r w:rsidRPr="000B46D7">
        <w:t>Such exemptions have the potential to provide welfare-enhancements as well as to exacerbate public good financing crises</w:t>
      </w:r>
      <w:r w:rsidR="00C10FA6" w:rsidRPr="000B46D7">
        <w:t xml:space="preserve">.  </w:t>
      </w:r>
      <w:r w:rsidRPr="000B46D7">
        <w:t>The consequences of age</w:t>
      </w:r>
      <w:r w:rsidR="00BC354B" w:rsidRPr="000B46D7">
        <w:t>-based property tax exemptions depend upon the</w:t>
      </w:r>
      <w:r w:rsidRPr="000B46D7">
        <w:t xml:space="preserve"> extent </w:t>
      </w:r>
      <w:r w:rsidR="00BC354B" w:rsidRPr="000B46D7">
        <w:t>to which they influence households</w:t>
      </w:r>
      <w:r w:rsidR="005500B0" w:rsidRPr="000B46D7">
        <w:t>'</w:t>
      </w:r>
      <w:r w:rsidR="00BC354B" w:rsidRPr="000B46D7">
        <w:t xml:space="preserve"> location decisions, housing tenure decisions, and housing consumption</w:t>
      </w:r>
      <w:r w:rsidR="00002041" w:rsidRPr="000B46D7">
        <w:t>.</w:t>
      </w:r>
    </w:p>
    <w:p w14:paraId="466BEB01" w14:textId="5B2EECAC" w:rsidR="008C52FD" w:rsidRPr="000B46D7" w:rsidRDefault="00BC354B" w:rsidP="000B46D7">
      <w:pPr>
        <w:widowControl w:val="0"/>
        <w:spacing w:before="120" w:after="120" w:line="360" w:lineRule="auto"/>
        <w:ind w:firstLine="720"/>
        <w:jc w:val="both"/>
        <w:rPr>
          <w:b/>
        </w:rPr>
      </w:pPr>
      <w:r w:rsidRPr="000B46D7">
        <w:t>We provide the first evidence on (long-term) changes in household composition</w:t>
      </w:r>
      <w:r w:rsidR="00767B92" w:rsidRPr="000B46D7">
        <w:t xml:space="preserve"> </w:t>
      </w:r>
      <w:r w:rsidRPr="000B46D7">
        <w:t>and housing consumption attributable to local, age-based property tax exemptions</w:t>
      </w:r>
      <w:r w:rsidR="00C10FA6" w:rsidRPr="000B46D7">
        <w:t xml:space="preserve">.  </w:t>
      </w:r>
      <w:r w:rsidRPr="000B46D7">
        <w:t>We find significant increases in older homeowners and in the growth rate of older homeowners from age-based property tax exemptions</w:t>
      </w:r>
      <w:r w:rsidR="00C10FA6" w:rsidRPr="000B46D7">
        <w:t xml:space="preserve">.  </w:t>
      </w:r>
      <w:r w:rsidRPr="000B46D7">
        <w:t xml:space="preserve">Our results suggest that the combined effects of age-based property tax exemption induced migration and housing tenure changes are substantial, with a </w:t>
      </w:r>
      <w:r w:rsidR="009E6FAB" w:rsidRPr="000B46D7">
        <w:rPr>
          <w:rFonts w:eastAsiaTheme="minorEastAsia"/>
        </w:rPr>
        <w:t>44 percent increase in the rate of change of older homeowners from adopting an age-based property tax exemptions above the change for younger homeowners, relative to the associated change for older and younger renters</w:t>
      </w:r>
      <w:r w:rsidR="00C10FA6" w:rsidRPr="000B46D7">
        <w:t xml:space="preserve">.  </w:t>
      </w:r>
      <w:r w:rsidRPr="000B46D7">
        <w:t>We also provide evidence that age-based property tax exemptions increase housing consumption among older households</w:t>
      </w:r>
      <w:r w:rsidR="000B46D7">
        <w:t>.</w:t>
      </w:r>
      <w:r w:rsidR="008C52FD" w:rsidRPr="000B46D7">
        <w:rPr>
          <w:b/>
        </w:rPr>
        <w:br w:type="page"/>
      </w:r>
    </w:p>
    <w:p w14:paraId="28C32355" w14:textId="1D970A1E" w:rsidR="00CE2D5C" w:rsidRPr="0075584F" w:rsidRDefault="00CE2D5C" w:rsidP="00D41D9D">
      <w:pPr>
        <w:rPr>
          <w:b/>
        </w:rPr>
      </w:pPr>
      <w:r w:rsidRPr="0075584F">
        <w:rPr>
          <w:b/>
        </w:rPr>
        <w:lastRenderedPageBreak/>
        <w:t>References</w:t>
      </w:r>
    </w:p>
    <w:p w14:paraId="5F0396AC" w14:textId="05A91B11" w:rsidR="00563E72" w:rsidRPr="0005359C" w:rsidRDefault="00B62831" w:rsidP="008C52FD">
      <w:pPr>
        <w:spacing w:before="0"/>
        <w:ind w:left="720" w:hanging="720"/>
        <w:rPr>
          <w:rFonts w:eastAsia="Times New Roman"/>
        </w:rPr>
      </w:pPr>
      <w:r w:rsidRPr="0005359C">
        <w:rPr>
          <w:rFonts w:eastAsia="Times New Roman"/>
        </w:rPr>
        <w:t>Augustine, Nancy Y., Michael E</w:t>
      </w:r>
      <w:r w:rsidR="00C1191C">
        <w:rPr>
          <w:rFonts w:eastAsia="Times New Roman"/>
        </w:rPr>
        <w:t xml:space="preserve">. </w:t>
      </w:r>
      <w:r w:rsidRPr="0005359C">
        <w:rPr>
          <w:rFonts w:eastAsia="Times New Roman"/>
        </w:rPr>
        <w:t>Bell, David Brunori, and Joan M</w:t>
      </w:r>
      <w:r w:rsidR="00C1191C">
        <w:rPr>
          <w:rFonts w:eastAsia="Times New Roman"/>
        </w:rPr>
        <w:t xml:space="preserve">. </w:t>
      </w:r>
      <w:r w:rsidRPr="0005359C">
        <w:rPr>
          <w:rFonts w:eastAsia="Times New Roman"/>
        </w:rPr>
        <w:t>Youngman</w:t>
      </w:r>
      <w:r w:rsidR="00C10FA6">
        <w:rPr>
          <w:rFonts w:eastAsia="Times New Roman"/>
        </w:rPr>
        <w:t xml:space="preserve">.  </w:t>
      </w:r>
      <w:r w:rsidRPr="0005359C">
        <w:rPr>
          <w:rFonts w:eastAsia="Times New Roman"/>
        </w:rPr>
        <w:t>2009</w:t>
      </w:r>
      <w:r w:rsidR="00C10FA6">
        <w:rPr>
          <w:rFonts w:eastAsia="Times New Roman"/>
        </w:rPr>
        <w:t xml:space="preserve">.  </w:t>
      </w:r>
      <w:r w:rsidR="005500B0">
        <w:rPr>
          <w:rFonts w:eastAsia="Times New Roman"/>
        </w:rPr>
        <w:t>"</w:t>
      </w:r>
      <w:r w:rsidRPr="0005359C">
        <w:rPr>
          <w:rFonts w:eastAsia="Times New Roman"/>
        </w:rPr>
        <w:t>The Property Tax Under Seige,</w:t>
      </w:r>
      <w:r w:rsidR="005500B0">
        <w:rPr>
          <w:rFonts w:eastAsia="Times New Roman"/>
        </w:rPr>
        <w:t>"</w:t>
      </w:r>
      <w:r w:rsidRPr="0005359C">
        <w:rPr>
          <w:rFonts w:eastAsia="Times New Roman"/>
        </w:rPr>
        <w:t xml:space="preserve"> in </w:t>
      </w:r>
      <w:r w:rsidR="00563E72" w:rsidRPr="0005359C">
        <w:rPr>
          <w:rFonts w:eastAsia="Times New Roman"/>
          <w:i/>
        </w:rPr>
        <w:t xml:space="preserve">Erosion of the Property Tax Base: Trends, Causes, and Consequences, </w:t>
      </w:r>
      <w:r w:rsidR="00563E72" w:rsidRPr="0005359C">
        <w:rPr>
          <w:rFonts w:eastAsia="Times New Roman"/>
        </w:rPr>
        <w:t>eds</w:t>
      </w:r>
      <w:r w:rsidR="00C10FA6">
        <w:rPr>
          <w:rFonts w:eastAsia="Times New Roman"/>
        </w:rPr>
        <w:t xml:space="preserve">.  </w:t>
      </w:r>
      <w:r w:rsidR="00563E72" w:rsidRPr="0005359C">
        <w:rPr>
          <w:rFonts w:eastAsia="Times New Roman"/>
        </w:rPr>
        <w:t>Nancy Y</w:t>
      </w:r>
      <w:r w:rsidR="00C10FA6">
        <w:rPr>
          <w:rFonts w:eastAsia="Times New Roman"/>
        </w:rPr>
        <w:t xml:space="preserve">.  </w:t>
      </w:r>
      <w:r w:rsidR="00563E72" w:rsidRPr="0005359C">
        <w:rPr>
          <w:rFonts w:eastAsia="Times New Roman"/>
        </w:rPr>
        <w:t>Augustine, Michael e</w:t>
      </w:r>
      <w:r w:rsidR="00C10FA6">
        <w:rPr>
          <w:rFonts w:eastAsia="Times New Roman"/>
        </w:rPr>
        <w:t xml:space="preserve">.  </w:t>
      </w:r>
      <w:r w:rsidR="00563E72" w:rsidRPr="0005359C">
        <w:rPr>
          <w:rFonts w:eastAsia="Times New Roman"/>
        </w:rPr>
        <w:t>Bell, David Brunori, and Joan M</w:t>
      </w:r>
      <w:r w:rsidR="00C10FA6">
        <w:rPr>
          <w:rFonts w:eastAsia="Times New Roman"/>
        </w:rPr>
        <w:t xml:space="preserve">.  </w:t>
      </w:r>
      <w:r w:rsidR="00563E72" w:rsidRPr="0005359C">
        <w:rPr>
          <w:rFonts w:eastAsia="Times New Roman"/>
        </w:rPr>
        <w:t>Youngman</w:t>
      </w:r>
      <w:r w:rsidR="00C10FA6">
        <w:rPr>
          <w:rFonts w:eastAsia="Times New Roman"/>
        </w:rPr>
        <w:t xml:space="preserve">.  </w:t>
      </w:r>
      <w:r w:rsidR="00563E72" w:rsidRPr="0005359C">
        <w:rPr>
          <w:rFonts w:eastAsia="Times New Roman"/>
        </w:rPr>
        <w:t>Cambridge, Massachusetts: Lincoln Institute of Land Policy.</w:t>
      </w:r>
    </w:p>
    <w:p w14:paraId="6675A4FD" w14:textId="5E61B636" w:rsidR="004E1993" w:rsidRPr="0005359C" w:rsidRDefault="004E1993" w:rsidP="008C52FD">
      <w:pPr>
        <w:spacing w:before="0"/>
        <w:ind w:left="720" w:hanging="720"/>
      </w:pPr>
      <w:r w:rsidRPr="0005359C">
        <w:rPr>
          <w:rFonts w:eastAsia="Times New Roman"/>
        </w:rPr>
        <w:t>Banzhaf, H</w:t>
      </w:r>
      <w:r w:rsidR="00C10FA6">
        <w:rPr>
          <w:rFonts w:eastAsia="Times New Roman"/>
        </w:rPr>
        <w:t xml:space="preserve">.  </w:t>
      </w:r>
      <w:r w:rsidRPr="0005359C">
        <w:rPr>
          <w:rFonts w:eastAsia="Times New Roman"/>
        </w:rPr>
        <w:t>Spencer, Ryan Mickey, and Carlianne E</w:t>
      </w:r>
      <w:r w:rsidR="00C1191C">
        <w:rPr>
          <w:rFonts w:eastAsia="Times New Roman"/>
        </w:rPr>
        <w:t xml:space="preserve">. </w:t>
      </w:r>
      <w:r w:rsidRPr="0005359C">
        <w:rPr>
          <w:rFonts w:eastAsia="Times New Roman"/>
        </w:rPr>
        <w:t>Patrick</w:t>
      </w:r>
      <w:r w:rsidR="00C10FA6">
        <w:rPr>
          <w:rFonts w:eastAsia="Times New Roman"/>
        </w:rPr>
        <w:t xml:space="preserve">.  </w:t>
      </w:r>
      <w:r w:rsidRPr="0005359C">
        <w:rPr>
          <w:rFonts w:eastAsia="Times New Roman"/>
        </w:rPr>
        <w:t>2016</w:t>
      </w:r>
      <w:r w:rsidR="00C10FA6">
        <w:rPr>
          <w:rFonts w:eastAsia="Times New Roman"/>
        </w:rPr>
        <w:t xml:space="preserve">.  </w:t>
      </w:r>
      <w:r w:rsidR="005500B0">
        <w:rPr>
          <w:rFonts w:eastAsia="Times New Roman"/>
        </w:rPr>
        <w:t>"</w:t>
      </w:r>
      <w:r w:rsidRPr="0005359C">
        <w:t>Age-Based Property Tax Exemptions in Georgia,</w:t>
      </w:r>
      <w:r w:rsidR="005500B0">
        <w:t>"</w:t>
      </w:r>
      <w:r w:rsidRPr="0005359C">
        <w:t xml:space="preserve"> </w:t>
      </w:r>
      <w:r w:rsidRPr="0005359C">
        <w:rPr>
          <w:i/>
          <w:iCs/>
        </w:rPr>
        <w:t>State Tax Notes</w:t>
      </w:r>
      <w:r w:rsidRPr="0005359C">
        <w:t>, Sept</w:t>
      </w:r>
      <w:r w:rsidR="00C10FA6">
        <w:t xml:space="preserve">.  </w:t>
      </w:r>
      <w:r w:rsidRPr="0005359C">
        <w:t>26, 2016, pp.1055-60</w:t>
      </w:r>
      <w:r w:rsidR="00C10FA6">
        <w:t xml:space="preserve">.  </w:t>
      </w:r>
    </w:p>
    <w:p w14:paraId="2070C44A" w14:textId="5E51F272" w:rsidR="00BE5066" w:rsidRDefault="00BE5066" w:rsidP="008C52FD">
      <w:pPr>
        <w:spacing w:before="0"/>
        <w:ind w:left="720" w:hanging="720"/>
        <w:rPr>
          <w:rFonts w:eastAsia="Times New Roman"/>
        </w:rPr>
      </w:pPr>
      <w:r w:rsidRPr="0005359C">
        <w:rPr>
          <w:rFonts w:eastAsia="Times New Roman"/>
        </w:rPr>
        <w:t>Baer, D., 1998</w:t>
      </w:r>
      <w:r w:rsidR="00C10FA6">
        <w:rPr>
          <w:rFonts w:eastAsia="Times New Roman"/>
        </w:rPr>
        <w:t xml:space="preserve">.  </w:t>
      </w:r>
      <w:r w:rsidRPr="0005359C">
        <w:rPr>
          <w:rFonts w:eastAsia="Times New Roman"/>
        </w:rPr>
        <w:t>Awareness and Popularity of Property Tax Relief Programs</w:t>
      </w:r>
      <w:r w:rsidR="00C10FA6">
        <w:rPr>
          <w:rFonts w:eastAsia="Times New Roman"/>
        </w:rPr>
        <w:t xml:space="preserve">.  </w:t>
      </w:r>
      <w:r w:rsidRPr="0005359C">
        <w:rPr>
          <w:rFonts w:eastAsia="Times New Roman"/>
        </w:rPr>
        <w:t>AARP Public Policy Institute.</w:t>
      </w:r>
    </w:p>
    <w:p w14:paraId="7F14C192" w14:textId="4EB9684D" w:rsidR="004E365F" w:rsidRDefault="004E365F" w:rsidP="008C52FD">
      <w:pPr>
        <w:spacing w:before="0"/>
        <w:ind w:left="720" w:hanging="720"/>
      </w:pPr>
      <w:r w:rsidRPr="0005359C">
        <w:t>Conway, Karen Smith, and Jonathan C</w:t>
      </w:r>
      <w:r w:rsidR="00C1191C">
        <w:t xml:space="preserve">. </w:t>
      </w:r>
      <w:r w:rsidRPr="0005359C">
        <w:t>Rork</w:t>
      </w:r>
      <w:r w:rsidR="00C10FA6">
        <w:t xml:space="preserve">.  </w:t>
      </w:r>
      <w:r w:rsidRPr="0005359C">
        <w:t>2006</w:t>
      </w:r>
      <w:r w:rsidR="00C10FA6">
        <w:t xml:space="preserve">.  </w:t>
      </w:r>
      <w:r w:rsidR="005500B0">
        <w:t>"</w:t>
      </w:r>
      <w:r w:rsidRPr="0005359C">
        <w:t xml:space="preserve">State </w:t>
      </w:r>
      <w:r w:rsidR="005500B0">
        <w:t>'</w:t>
      </w:r>
      <w:r w:rsidRPr="0005359C">
        <w:t>Death</w:t>
      </w:r>
      <w:r w:rsidR="005500B0">
        <w:t>'</w:t>
      </w:r>
      <w:r w:rsidRPr="0005359C">
        <w:t xml:space="preserve"> Taxes and Elderly Migration:  The Chicken or the Egg?  </w:t>
      </w:r>
      <w:r w:rsidRPr="0005359C">
        <w:rPr>
          <w:i/>
        </w:rPr>
        <w:t>National Tax Journal</w:t>
      </w:r>
      <w:r w:rsidRPr="0005359C">
        <w:t xml:space="preserve"> 59(1): 97-128.</w:t>
      </w:r>
    </w:p>
    <w:p w14:paraId="5A52F95F" w14:textId="69214EE4" w:rsidR="004E365F" w:rsidRPr="0005359C" w:rsidRDefault="004E365F" w:rsidP="008C52FD">
      <w:pPr>
        <w:spacing w:before="0"/>
        <w:ind w:left="720" w:hanging="720"/>
      </w:pPr>
      <w:r w:rsidRPr="0005359C">
        <w:t>Conway, Karen Smith, and Jonathan C</w:t>
      </w:r>
      <w:r w:rsidR="00C1191C">
        <w:t xml:space="preserve">. </w:t>
      </w:r>
      <w:r w:rsidRPr="0005359C">
        <w:t>Rork</w:t>
      </w:r>
      <w:r w:rsidR="00C10FA6">
        <w:t xml:space="preserve">.  </w:t>
      </w:r>
      <w:r w:rsidRPr="0005359C">
        <w:t>2012</w:t>
      </w:r>
      <w:r w:rsidR="00C10FA6">
        <w:t xml:space="preserve">.  </w:t>
      </w:r>
      <w:r w:rsidR="005500B0">
        <w:t>"</w:t>
      </w:r>
      <w:r w:rsidRPr="0005359C">
        <w:t>No Country for Old Men (or Women):  Do State Tax Policies Drive away the Elderly?</w:t>
      </w:r>
      <w:r w:rsidR="005500B0">
        <w:t>"</w:t>
      </w:r>
      <w:r w:rsidRPr="0005359C">
        <w:t xml:space="preserve">  </w:t>
      </w:r>
      <w:r w:rsidRPr="0005359C">
        <w:rPr>
          <w:i/>
        </w:rPr>
        <w:t>National Tax Journal</w:t>
      </w:r>
      <w:r w:rsidRPr="0005359C">
        <w:t xml:space="preserve"> 65(2): 313-56.</w:t>
      </w:r>
    </w:p>
    <w:p w14:paraId="50B2A86B" w14:textId="0C6D758B" w:rsidR="008C52FD" w:rsidRDefault="008C52FD" w:rsidP="008C52FD">
      <w:pPr>
        <w:spacing w:before="0"/>
        <w:ind w:left="720" w:hanging="720"/>
      </w:pPr>
      <w:r>
        <w:t>Janel Davis</w:t>
      </w:r>
      <w:r w:rsidR="00C10FA6">
        <w:t xml:space="preserve">.  </w:t>
      </w:r>
      <w:r>
        <w:t>2010</w:t>
      </w:r>
      <w:r w:rsidR="00C10FA6">
        <w:t xml:space="preserve">.  </w:t>
      </w:r>
      <w:r w:rsidR="005500B0">
        <w:t>"</w:t>
      </w:r>
      <w:r w:rsidRPr="008C52FD">
        <w:t>Tax breaks for seniors: Can counties afford them?</w:t>
      </w:r>
      <w:r w:rsidR="005500B0">
        <w:t>"</w:t>
      </w:r>
      <w:r w:rsidRPr="008C52FD">
        <w:t xml:space="preserve"> </w:t>
      </w:r>
      <w:r w:rsidRPr="008C52FD">
        <w:rPr>
          <w:i/>
        </w:rPr>
        <w:t>Atlanta Journal-Constitution</w:t>
      </w:r>
      <w:r w:rsidRPr="008C52FD">
        <w:t>.</w:t>
      </w:r>
    </w:p>
    <w:p w14:paraId="3523517E" w14:textId="552B0C00" w:rsidR="008C52FD" w:rsidRDefault="008C52FD" w:rsidP="008C52FD">
      <w:pPr>
        <w:spacing w:before="0"/>
        <w:ind w:left="720" w:hanging="720"/>
      </w:pPr>
      <w:r>
        <w:t>Downey,</w:t>
      </w:r>
      <w:r w:rsidRPr="008C52FD">
        <w:t xml:space="preserve"> Maureen</w:t>
      </w:r>
      <w:r w:rsidR="00C10FA6">
        <w:t xml:space="preserve">.  </w:t>
      </w:r>
      <w:r>
        <w:t>2013</w:t>
      </w:r>
      <w:r w:rsidR="00C10FA6">
        <w:t xml:space="preserve">.  </w:t>
      </w:r>
      <w:r w:rsidR="005500B0">
        <w:t>"</w:t>
      </w:r>
      <w:r w:rsidRPr="008C52FD">
        <w:t>Make 62-year-olds pay school taxes,</w:t>
      </w:r>
      <w:r w:rsidR="005500B0">
        <w:t>"</w:t>
      </w:r>
      <w:r w:rsidRPr="008C52FD">
        <w:t xml:space="preserve"> </w:t>
      </w:r>
      <w:r w:rsidRPr="008C52FD">
        <w:rPr>
          <w:i/>
        </w:rPr>
        <w:t>Atlanta Journal-Constitution</w:t>
      </w:r>
      <w:r w:rsidRPr="008C52FD">
        <w:t>, May 21</w:t>
      </w:r>
      <w:r w:rsidR="00C10FA6">
        <w:t xml:space="preserve">.  </w:t>
      </w:r>
    </w:p>
    <w:p w14:paraId="178BB51F" w14:textId="35FA44BF" w:rsidR="0005359C" w:rsidRPr="0005359C" w:rsidRDefault="0005359C" w:rsidP="008C52FD">
      <w:pPr>
        <w:spacing w:before="0"/>
        <w:ind w:left="720" w:hanging="720"/>
      </w:pPr>
      <w:r w:rsidRPr="0005359C">
        <w:t>Farnham, Martin, and Purvi Sevak</w:t>
      </w:r>
      <w:r w:rsidR="00C10FA6">
        <w:t xml:space="preserve">.  </w:t>
      </w:r>
      <w:r w:rsidRPr="0005359C">
        <w:t>2006</w:t>
      </w:r>
      <w:r w:rsidR="00C10FA6">
        <w:t xml:space="preserve">.  </w:t>
      </w:r>
      <w:r w:rsidR="005500B0">
        <w:t>"</w:t>
      </w:r>
      <w:r w:rsidRPr="0005359C">
        <w:t>State Fiscal Institutions and Empty-Nest Migration: Are Tiebout Voters Hobbled?</w:t>
      </w:r>
      <w:r w:rsidR="005500B0">
        <w:t>"</w:t>
      </w:r>
      <w:r w:rsidRPr="0005359C">
        <w:t xml:space="preserve"> </w:t>
      </w:r>
      <w:r w:rsidRPr="0005359C">
        <w:rPr>
          <w:i/>
          <w:iCs/>
        </w:rPr>
        <w:t>Journal of Public Economics</w:t>
      </w:r>
      <w:r w:rsidRPr="0005359C">
        <w:t xml:space="preserve"> 90 (3): 407–27</w:t>
      </w:r>
    </w:p>
    <w:p w14:paraId="560CA2B3" w14:textId="6DE0DE31" w:rsidR="00147273" w:rsidRDefault="00147273" w:rsidP="008C52FD">
      <w:pPr>
        <w:pStyle w:val="NormalWeb"/>
        <w:spacing w:before="0" w:beforeAutospacing="0" w:after="240" w:afterAutospacing="0"/>
        <w:ind w:left="720" w:hanging="720"/>
      </w:pPr>
      <w:r>
        <w:t>Gallagher, R</w:t>
      </w:r>
      <w:r w:rsidR="00C1191C">
        <w:t>yan M</w:t>
      </w:r>
      <w:r w:rsidR="00C10FA6">
        <w:t>.</w:t>
      </w:r>
      <w:r>
        <w:t xml:space="preserve">, </w:t>
      </w:r>
      <w:r w:rsidR="00C1191C">
        <w:t xml:space="preserve">Joseph J. </w:t>
      </w:r>
      <w:r>
        <w:t>Pers</w:t>
      </w:r>
      <w:r w:rsidR="00EF18AC">
        <w:t>a</w:t>
      </w:r>
      <w:r>
        <w:t xml:space="preserve">ky, </w:t>
      </w:r>
      <w:r w:rsidR="00C1191C">
        <w:t>and Haydar Kurban</w:t>
      </w:r>
      <w:r w:rsidR="00C10FA6">
        <w:t xml:space="preserve">.  </w:t>
      </w:r>
      <w:r>
        <w:t>2017</w:t>
      </w:r>
      <w:r w:rsidR="00C10FA6">
        <w:t xml:space="preserve">.  </w:t>
      </w:r>
      <w:r w:rsidR="00C1191C">
        <w:t>"</w:t>
      </w:r>
      <w:r>
        <w:t>The Growth of Local Education Transfers: Explaining How Older Households Have Supported Schools</w:t>
      </w:r>
      <w:r w:rsidR="00C10FA6">
        <w:t>.</w:t>
      </w:r>
      <w:r w:rsidR="00C1191C">
        <w:t>"</w:t>
      </w:r>
      <w:r w:rsidR="00C10FA6">
        <w:t xml:space="preserve">  </w:t>
      </w:r>
      <w:r w:rsidRPr="00C1191C">
        <w:rPr>
          <w:i/>
        </w:rPr>
        <w:t>Public Finance Review</w:t>
      </w:r>
      <w:r w:rsidR="00C1191C">
        <w:rPr>
          <w:i/>
        </w:rPr>
        <w:t xml:space="preserve">, </w:t>
      </w:r>
      <w:r w:rsidR="00C1191C">
        <w:t>forthcoming</w:t>
      </w:r>
      <w:r w:rsidR="00C10FA6">
        <w:t xml:space="preserve">.  </w:t>
      </w:r>
    </w:p>
    <w:p w14:paraId="4B43CDE9" w14:textId="0DEA4464" w:rsidR="00577C06" w:rsidRDefault="00577C06" w:rsidP="008C52FD">
      <w:pPr>
        <w:pStyle w:val="NormalWeb"/>
        <w:spacing w:before="0" w:beforeAutospacing="0" w:after="240" w:afterAutospacing="0"/>
        <w:ind w:left="720" w:hanging="720"/>
      </w:pPr>
      <w:r>
        <w:t xml:space="preserve">Hanson, Andrew.  2012.  </w:t>
      </w:r>
      <w:r w:rsidR="005500B0">
        <w:t>"</w:t>
      </w:r>
      <w:r>
        <w:t>Size of home, homeownership, and the mortgage interest deduction.</w:t>
      </w:r>
      <w:r w:rsidR="005500B0">
        <w:t>"</w:t>
      </w:r>
      <w:r>
        <w:t xml:space="preserve"> </w:t>
      </w:r>
      <w:r>
        <w:rPr>
          <w:i/>
          <w:iCs/>
        </w:rPr>
        <w:t>Journal of Housing Economics</w:t>
      </w:r>
      <w:r>
        <w:t xml:space="preserve"> 21(3): 195-210.</w:t>
      </w:r>
    </w:p>
    <w:p w14:paraId="3C358AC0" w14:textId="2FAEFC8B" w:rsidR="004E365F" w:rsidRPr="0005359C" w:rsidRDefault="004E365F" w:rsidP="008C52FD">
      <w:pPr>
        <w:spacing w:before="0"/>
        <w:ind w:left="720" w:hanging="720"/>
      </w:pPr>
      <w:r w:rsidRPr="0005359C">
        <w:t>Langley, Adam H</w:t>
      </w:r>
      <w:r w:rsidR="00C10FA6">
        <w:t xml:space="preserve">.  </w:t>
      </w:r>
      <w:r w:rsidRPr="0005359C">
        <w:t>2015</w:t>
      </w:r>
      <w:r w:rsidR="00C10FA6">
        <w:t xml:space="preserve">.  </w:t>
      </w:r>
      <w:r w:rsidR="005500B0">
        <w:t>"</w:t>
      </w:r>
      <w:r w:rsidRPr="0005359C">
        <w:t>Estimating Tax Savings from Homestead Exemptions and Property Tax Credits</w:t>
      </w:r>
      <w:r w:rsidR="00C10FA6">
        <w:t xml:space="preserve">.  </w:t>
      </w:r>
      <w:r w:rsidRPr="0005359C">
        <w:t>Working Paper</w:t>
      </w:r>
      <w:r w:rsidR="00C10FA6">
        <w:t xml:space="preserve">.  </w:t>
      </w:r>
      <w:r w:rsidRPr="0005359C">
        <w:t>Cambridge, MA:  Lincoln Institute of Land Policy.</w:t>
      </w:r>
    </w:p>
    <w:p w14:paraId="578E5E58" w14:textId="6AFCCB9A" w:rsidR="0005359C" w:rsidRPr="0005359C" w:rsidRDefault="0005359C" w:rsidP="008C52FD">
      <w:pPr>
        <w:pStyle w:val="Bibliography"/>
        <w:spacing w:before="0"/>
        <w:ind w:left="720" w:hanging="720"/>
        <w:rPr>
          <w:i/>
          <w:iCs/>
        </w:rPr>
      </w:pPr>
      <w:r w:rsidRPr="0005359C">
        <w:t>Onder, Ali Sina, and Herwig J</w:t>
      </w:r>
      <w:r w:rsidR="00C1191C">
        <w:t xml:space="preserve">. </w:t>
      </w:r>
      <w:r w:rsidRPr="0005359C">
        <w:t>Schlunk</w:t>
      </w:r>
      <w:r w:rsidR="00C10FA6">
        <w:t xml:space="preserve">.  </w:t>
      </w:r>
      <w:r w:rsidRPr="0005359C">
        <w:t>2010</w:t>
      </w:r>
      <w:r w:rsidR="00C10FA6">
        <w:t xml:space="preserve">.  </w:t>
      </w:r>
      <w:r w:rsidR="005500B0">
        <w:t>"</w:t>
      </w:r>
      <w:r w:rsidRPr="0005359C">
        <w:t>State Taxes, Tax Exemptions and Elderly Migration.</w:t>
      </w:r>
      <w:r w:rsidR="005500B0">
        <w:t>"</w:t>
      </w:r>
      <w:r w:rsidRPr="0005359C">
        <w:t xml:space="preserve"> </w:t>
      </w:r>
      <w:r w:rsidRPr="0005359C">
        <w:rPr>
          <w:i/>
          <w:iCs/>
        </w:rPr>
        <w:t>Working Pape</w:t>
      </w:r>
      <w:r w:rsidR="00EC7D01">
        <w:rPr>
          <w:i/>
          <w:iCs/>
        </w:rPr>
        <w:t>r</w:t>
      </w:r>
    </w:p>
    <w:p w14:paraId="44BECAB0" w14:textId="3A1CECC5" w:rsidR="0005359C" w:rsidRPr="0005359C" w:rsidRDefault="0005359C" w:rsidP="008C52FD">
      <w:pPr>
        <w:pStyle w:val="Bibliography"/>
        <w:spacing w:before="0"/>
        <w:ind w:left="720" w:hanging="720"/>
      </w:pPr>
      <w:r w:rsidRPr="0005359C">
        <w:t>Seslen, Tracey</w:t>
      </w:r>
      <w:r w:rsidR="00C10FA6">
        <w:t xml:space="preserve">.  </w:t>
      </w:r>
      <w:r w:rsidRPr="0005359C">
        <w:t>2005</w:t>
      </w:r>
      <w:r w:rsidR="00C10FA6">
        <w:t xml:space="preserve">.  </w:t>
      </w:r>
      <w:r w:rsidR="005500B0">
        <w:t>"</w:t>
      </w:r>
      <w:r w:rsidRPr="0005359C">
        <w:t>Property Tax Abatement Programs: Does Relief Really Keep Grandma in Her Home.</w:t>
      </w:r>
      <w:r w:rsidR="005500B0">
        <w:t>"</w:t>
      </w:r>
      <w:r w:rsidRPr="0005359C">
        <w:t xml:space="preserve"> </w:t>
      </w:r>
      <w:r w:rsidRPr="0005359C">
        <w:rPr>
          <w:i/>
          <w:iCs/>
        </w:rPr>
        <w:t>MIT Dissertation</w:t>
      </w:r>
      <w:r w:rsidRPr="0005359C">
        <w:t>.</w:t>
      </w:r>
    </w:p>
    <w:p w14:paraId="76915DB2" w14:textId="75709A02" w:rsidR="009F5908" w:rsidRPr="0075584F" w:rsidRDefault="004E365F" w:rsidP="00577C06">
      <w:pPr>
        <w:spacing w:before="0"/>
        <w:ind w:left="720" w:hanging="720"/>
      </w:pPr>
      <w:r w:rsidRPr="0005359C">
        <w:t>Shan, Hui</w:t>
      </w:r>
      <w:r w:rsidR="00C10FA6">
        <w:t xml:space="preserve">.  </w:t>
      </w:r>
      <w:r w:rsidRPr="0005359C">
        <w:t>2010</w:t>
      </w:r>
      <w:r w:rsidR="00C10FA6">
        <w:t xml:space="preserve">.  </w:t>
      </w:r>
      <w:r w:rsidR="005500B0">
        <w:t>"</w:t>
      </w:r>
      <w:r w:rsidRPr="0005359C">
        <w:t>Property Taxes and Elderly Mobility.</w:t>
      </w:r>
      <w:r w:rsidR="005500B0">
        <w:t>"</w:t>
      </w:r>
      <w:r w:rsidRPr="0005359C">
        <w:t xml:space="preserve">  </w:t>
      </w:r>
      <w:r w:rsidRPr="0005359C">
        <w:rPr>
          <w:i/>
        </w:rPr>
        <w:t>Journal of Urban Economics</w:t>
      </w:r>
      <w:r w:rsidRPr="0005359C">
        <w:t xml:space="preserve"> 67:194-205.</w:t>
      </w:r>
      <w:r w:rsidR="009F5908" w:rsidRPr="0075584F">
        <w:br w:type="page"/>
      </w:r>
    </w:p>
    <w:p w14:paraId="4A70E8E8" w14:textId="07CFE0B0" w:rsidR="00F613B7" w:rsidRPr="00A9446C" w:rsidRDefault="00F613B7" w:rsidP="00F613B7">
      <w:pPr>
        <w:spacing w:after="0"/>
        <w:contextualSpacing/>
        <w:rPr>
          <w:rFonts w:eastAsiaTheme="minorEastAsia"/>
          <w:b/>
        </w:rPr>
      </w:pPr>
      <w:r w:rsidRPr="00A9446C">
        <w:rPr>
          <w:b/>
        </w:rPr>
        <w:lastRenderedPageBreak/>
        <w:t xml:space="preserve">Table </w:t>
      </w:r>
      <w:r>
        <w:rPr>
          <w:b/>
        </w:rPr>
        <w:t>1</w:t>
      </w:r>
      <w:r w:rsidRPr="00A9446C">
        <w:rPr>
          <w:b/>
        </w:rPr>
        <w:t xml:space="preserve">: </w:t>
      </w:r>
      <w:r>
        <w:rPr>
          <w:b/>
        </w:rPr>
        <w:t xml:space="preserve"> Summary of Identification Strategy for the Homeowner Effect</w:t>
      </w:r>
    </w:p>
    <w:tbl>
      <w:tblPr>
        <w:tblStyle w:val="TableGrid"/>
        <w:tblW w:w="0" w:type="auto"/>
        <w:tblLook w:val="04A0" w:firstRow="1" w:lastRow="0" w:firstColumn="1" w:lastColumn="0" w:noHBand="0" w:noVBand="1"/>
      </w:tblPr>
      <w:tblGrid>
        <w:gridCol w:w="2448"/>
        <w:gridCol w:w="1915"/>
        <w:gridCol w:w="2304"/>
        <w:gridCol w:w="1915"/>
      </w:tblGrid>
      <w:tr w:rsidR="00F613B7" w14:paraId="49FA8E68" w14:textId="77777777" w:rsidTr="00A07E69">
        <w:trPr>
          <w:trHeight w:val="756"/>
        </w:trPr>
        <w:tc>
          <w:tcPr>
            <w:tcW w:w="2448" w:type="dxa"/>
          </w:tcPr>
          <w:p w14:paraId="68A3E080" w14:textId="77777777" w:rsidR="00F613B7" w:rsidRDefault="00F613B7" w:rsidP="00A07E69">
            <w:pPr>
              <w:rPr>
                <w:rFonts w:eastAsiaTheme="minorEastAsia"/>
              </w:rPr>
            </w:pPr>
          </w:p>
        </w:tc>
        <w:tc>
          <w:tcPr>
            <w:tcW w:w="1915" w:type="dxa"/>
            <w:vAlign w:val="center"/>
          </w:tcPr>
          <w:p w14:paraId="71E86EA1" w14:textId="77777777" w:rsidR="00F613B7" w:rsidRDefault="00F613B7" w:rsidP="00A07E69">
            <w:pPr>
              <w:spacing w:before="0" w:after="0"/>
              <w:contextualSpacing/>
              <w:jc w:val="center"/>
              <w:rPr>
                <w:rFonts w:eastAsiaTheme="minorEastAsia"/>
              </w:rPr>
            </w:pPr>
            <w:r>
              <w:rPr>
                <w:rFonts w:eastAsiaTheme="minorEastAsia"/>
              </w:rPr>
              <w:t>Renter</w:t>
            </w:r>
          </w:p>
        </w:tc>
        <w:tc>
          <w:tcPr>
            <w:tcW w:w="2304" w:type="dxa"/>
            <w:vAlign w:val="center"/>
          </w:tcPr>
          <w:p w14:paraId="7CE91869" w14:textId="77777777" w:rsidR="00F613B7" w:rsidRDefault="00F613B7" w:rsidP="00A07E69">
            <w:pPr>
              <w:spacing w:before="0" w:after="0"/>
              <w:contextualSpacing/>
              <w:jc w:val="center"/>
              <w:rPr>
                <w:rFonts w:eastAsiaTheme="minorEastAsia"/>
              </w:rPr>
            </w:pPr>
            <w:r>
              <w:rPr>
                <w:rFonts w:eastAsiaTheme="minorEastAsia"/>
              </w:rPr>
              <w:t>Owner</w:t>
            </w:r>
          </w:p>
        </w:tc>
        <w:tc>
          <w:tcPr>
            <w:tcW w:w="1915" w:type="dxa"/>
            <w:vAlign w:val="center"/>
          </w:tcPr>
          <w:p w14:paraId="155A7300" w14:textId="77777777" w:rsidR="00F613B7" w:rsidRDefault="00F613B7" w:rsidP="00A07E69">
            <w:pPr>
              <w:spacing w:before="0" w:after="0"/>
              <w:contextualSpacing/>
              <w:jc w:val="center"/>
              <w:rPr>
                <w:rFonts w:eastAsiaTheme="minorEastAsia"/>
              </w:rPr>
            </w:pPr>
            <w:r>
              <w:rPr>
                <w:rFonts w:eastAsiaTheme="minorEastAsia"/>
              </w:rPr>
              <w:t>Difference (Owner-Renter)</w:t>
            </w:r>
          </w:p>
        </w:tc>
      </w:tr>
      <w:tr w:rsidR="00F613B7" w14:paraId="3F5E7510" w14:textId="77777777" w:rsidTr="00A07E69">
        <w:trPr>
          <w:trHeight w:val="756"/>
        </w:trPr>
        <w:tc>
          <w:tcPr>
            <w:tcW w:w="2448" w:type="dxa"/>
            <w:vAlign w:val="center"/>
          </w:tcPr>
          <w:p w14:paraId="2C360998" w14:textId="77777777" w:rsidR="00F613B7" w:rsidRDefault="00F613B7" w:rsidP="00A07E69">
            <w:pPr>
              <w:contextualSpacing/>
              <w:rPr>
                <w:rFonts w:eastAsiaTheme="minorEastAsia"/>
              </w:rPr>
            </w:pPr>
            <w:r>
              <w:rPr>
                <w:rFonts w:eastAsiaTheme="minorEastAsia"/>
              </w:rPr>
              <w:t>Young</w:t>
            </w:r>
          </w:p>
        </w:tc>
        <w:tc>
          <w:tcPr>
            <w:tcW w:w="1915" w:type="dxa"/>
            <w:vAlign w:val="center"/>
          </w:tcPr>
          <w:p w14:paraId="301ACF95" w14:textId="77777777" w:rsidR="00F613B7" w:rsidRPr="00062D00" w:rsidRDefault="00CA1404" w:rsidP="00A07E69">
            <w:pPr>
              <w:spacing w:before="0" w:after="0"/>
              <w:contextualSpacing/>
              <w:jc w:val="center"/>
              <w:rPr>
                <w:rFonts w:eastAsiaTheme="minorEastAsia"/>
                <w:b/>
              </w:rPr>
            </w:pPr>
            <m:oMathPara>
              <m:oMath>
                <m:sSub>
                  <m:sSubPr>
                    <m:ctrlPr>
                      <w:rPr>
                        <w:rFonts w:ascii="Cambria Math" w:hAnsi="Cambria Math"/>
                        <w:i/>
                      </w:rPr>
                    </m:ctrlPr>
                  </m:sSubPr>
                  <m:e>
                    <m:r>
                      <w:rPr>
                        <w:rFonts w:ascii="Cambria Math" w:hAnsi="Cambria Math"/>
                      </w:rPr>
                      <m:t>γ</m:t>
                    </m:r>
                  </m:e>
                  <m:sub>
                    <m:r>
                      <w:rPr>
                        <w:rFonts w:ascii="Cambria Math" w:hAnsi="Cambria Math"/>
                      </w:rPr>
                      <m:t>4</m:t>
                    </m:r>
                  </m:sub>
                </m:sSub>
              </m:oMath>
            </m:oMathPara>
          </w:p>
        </w:tc>
        <w:tc>
          <w:tcPr>
            <w:tcW w:w="2304" w:type="dxa"/>
            <w:vAlign w:val="center"/>
          </w:tcPr>
          <w:p w14:paraId="0F9A45EC" w14:textId="323A6A0A" w:rsidR="00F613B7" w:rsidRPr="00062D00" w:rsidRDefault="00CA1404" w:rsidP="00255766">
            <w:pPr>
              <w:spacing w:before="0" w:after="0"/>
              <w:contextualSpacing/>
              <w:jc w:val="center"/>
              <w:rPr>
                <w:rFonts w:eastAsiaTheme="minorEastAsia"/>
                <w:b/>
              </w:rPr>
            </w:pPr>
            <m:oMathPara>
              <m:oMath>
                <m:sSub>
                  <m:sSubPr>
                    <m:ctrlPr>
                      <w:rPr>
                        <w:rFonts w:ascii="Cambria Math" w:hAnsi="Cambria Math"/>
                        <w:i/>
                      </w:rPr>
                    </m:ctrlPr>
                  </m:sSubPr>
                  <m:e>
                    <m:r>
                      <w:rPr>
                        <w:rFonts w:ascii="Cambria Math" w:hAnsi="Cambria Math"/>
                      </w:rPr>
                      <m:t>γ</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6</m:t>
                    </m:r>
                  </m:sub>
                </m:sSub>
              </m:oMath>
            </m:oMathPara>
          </w:p>
        </w:tc>
        <w:tc>
          <w:tcPr>
            <w:tcW w:w="1915" w:type="dxa"/>
            <w:vAlign w:val="center"/>
          </w:tcPr>
          <w:p w14:paraId="2C792A74" w14:textId="0602CD2A" w:rsidR="00F613B7" w:rsidRDefault="00CA1404" w:rsidP="00255766">
            <w:pPr>
              <w:spacing w:before="0" w:after="0"/>
              <w:contextualSpacing/>
              <w:jc w:val="center"/>
              <w:rPr>
                <w:rFonts w:eastAsiaTheme="minorEastAsia"/>
              </w:rPr>
            </w:pPr>
            <m:oMathPara>
              <m:oMath>
                <m:sSub>
                  <m:sSubPr>
                    <m:ctrlPr>
                      <w:rPr>
                        <w:rFonts w:ascii="Cambria Math" w:hAnsi="Cambria Math"/>
                        <w:i/>
                      </w:rPr>
                    </m:ctrlPr>
                  </m:sSubPr>
                  <m:e>
                    <m:r>
                      <w:rPr>
                        <w:rFonts w:ascii="Cambria Math" w:hAnsi="Cambria Math"/>
                      </w:rPr>
                      <m:t>γ</m:t>
                    </m:r>
                  </m:e>
                  <m:sub>
                    <m:r>
                      <w:rPr>
                        <w:rFonts w:ascii="Cambria Math" w:hAnsi="Cambria Math"/>
                      </w:rPr>
                      <m:t>6</m:t>
                    </m:r>
                  </m:sub>
                </m:sSub>
              </m:oMath>
            </m:oMathPara>
          </w:p>
        </w:tc>
      </w:tr>
      <w:tr w:rsidR="00F613B7" w14:paraId="206EB075" w14:textId="77777777" w:rsidTr="00A07E69">
        <w:trPr>
          <w:trHeight w:val="756"/>
        </w:trPr>
        <w:tc>
          <w:tcPr>
            <w:tcW w:w="2448" w:type="dxa"/>
            <w:vAlign w:val="center"/>
          </w:tcPr>
          <w:p w14:paraId="25BDC73F" w14:textId="77777777" w:rsidR="00F613B7" w:rsidRDefault="00F613B7" w:rsidP="00A07E69">
            <w:pPr>
              <w:contextualSpacing/>
              <w:rPr>
                <w:rFonts w:eastAsiaTheme="minorEastAsia"/>
              </w:rPr>
            </w:pPr>
            <w:r>
              <w:rPr>
                <w:rFonts w:eastAsiaTheme="minorEastAsia"/>
              </w:rPr>
              <w:t>Older</w:t>
            </w:r>
          </w:p>
        </w:tc>
        <w:tc>
          <w:tcPr>
            <w:tcW w:w="1915" w:type="dxa"/>
            <w:vAlign w:val="center"/>
          </w:tcPr>
          <w:p w14:paraId="7C918CF5" w14:textId="34857B55" w:rsidR="00F613B7" w:rsidRDefault="00CA1404" w:rsidP="00255766">
            <w:pPr>
              <w:spacing w:before="0" w:after="0"/>
              <w:contextualSpacing/>
              <w:jc w:val="center"/>
              <w:rPr>
                <w:rFonts w:eastAsiaTheme="minorEastAsia"/>
              </w:rPr>
            </w:pPr>
            <m:oMathPara>
              <m:oMath>
                <m:sSub>
                  <m:sSubPr>
                    <m:ctrlPr>
                      <w:rPr>
                        <w:rFonts w:ascii="Cambria Math" w:hAnsi="Cambria Math"/>
                        <w:i/>
                      </w:rPr>
                    </m:ctrlPr>
                  </m:sSubPr>
                  <m:e>
                    <m:r>
                      <w:rPr>
                        <w:rFonts w:ascii="Cambria Math" w:hAnsi="Cambria Math"/>
                      </w:rPr>
                      <m:t>γ</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5</m:t>
                    </m:r>
                  </m:sub>
                </m:sSub>
              </m:oMath>
            </m:oMathPara>
          </w:p>
        </w:tc>
        <w:tc>
          <w:tcPr>
            <w:tcW w:w="2304" w:type="dxa"/>
            <w:vAlign w:val="center"/>
          </w:tcPr>
          <w:p w14:paraId="76D9815F" w14:textId="77777777" w:rsidR="00F613B7" w:rsidRDefault="00CA1404" w:rsidP="00A07E69">
            <w:pPr>
              <w:spacing w:before="0" w:after="0"/>
              <w:contextualSpacing/>
              <w:jc w:val="center"/>
              <w:rPr>
                <w:rFonts w:eastAsiaTheme="minorEastAsia"/>
              </w:rPr>
            </w:pPr>
            <m:oMathPara>
              <m:oMath>
                <m:sSub>
                  <m:sSubPr>
                    <m:ctrlPr>
                      <w:rPr>
                        <w:rFonts w:ascii="Cambria Math" w:hAnsi="Cambria Math"/>
                        <w:i/>
                      </w:rPr>
                    </m:ctrlPr>
                  </m:sSubPr>
                  <m:e>
                    <m:r>
                      <w:rPr>
                        <w:rFonts w:ascii="Cambria Math" w:hAnsi="Cambria Math"/>
                      </w:rPr>
                      <m:t>γ</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7</m:t>
                    </m:r>
                  </m:sub>
                </m:sSub>
              </m:oMath>
            </m:oMathPara>
          </w:p>
        </w:tc>
        <w:tc>
          <w:tcPr>
            <w:tcW w:w="1915" w:type="dxa"/>
            <w:vAlign w:val="center"/>
          </w:tcPr>
          <w:p w14:paraId="114508C9" w14:textId="7FD932C2" w:rsidR="00F613B7" w:rsidRDefault="00CA1404" w:rsidP="00255766">
            <w:pPr>
              <w:spacing w:before="0" w:after="0"/>
              <w:contextualSpacing/>
              <w:jc w:val="center"/>
              <w:rPr>
                <w:rFonts w:eastAsiaTheme="minorEastAsia"/>
              </w:rPr>
            </w:pPr>
            <m:oMathPara>
              <m:oMath>
                <m:sSub>
                  <m:sSubPr>
                    <m:ctrlPr>
                      <w:rPr>
                        <w:rFonts w:ascii="Cambria Math" w:hAnsi="Cambria Math"/>
                        <w:i/>
                      </w:rPr>
                    </m:ctrlPr>
                  </m:sSubPr>
                  <m:e>
                    <m:r>
                      <w:rPr>
                        <w:rFonts w:ascii="Cambria Math" w:hAnsi="Cambria Math"/>
                      </w:rPr>
                      <m:t>γ</m:t>
                    </m:r>
                  </m:e>
                  <m:sub>
                    <m:r>
                      <w:rPr>
                        <w:rFonts w:ascii="Cambria Math" w:hAnsi="Cambria Math"/>
                      </w:rPr>
                      <m:t>6</m:t>
                    </m:r>
                  </m:sub>
                </m:sSub>
                <m:sSub>
                  <m:sSubPr>
                    <m:ctrlPr>
                      <w:rPr>
                        <w:rFonts w:ascii="Cambria Math" w:hAnsi="Cambria Math"/>
                        <w:i/>
                      </w:rPr>
                    </m:ctrlPr>
                  </m:sSubPr>
                  <m:e>
                    <m:r>
                      <w:rPr>
                        <w:rFonts w:ascii="Cambria Math" w:hAnsi="Cambria Math"/>
                      </w:rPr>
                      <m:t>+γ</m:t>
                    </m:r>
                  </m:e>
                  <m:sub>
                    <m:r>
                      <w:rPr>
                        <w:rFonts w:ascii="Cambria Math" w:hAnsi="Cambria Math"/>
                      </w:rPr>
                      <m:t>7</m:t>
                    </m:r>
                  </m:sub>
                </m:sSub>
              </m:oMath>
            </m:oMathPara>
          </w:p>
        </w:tc>
      </w:tr>
      <w:tr w:rsidR="00F613B7" w14:paraId="794BB9D1" w14:textId="77777777" w:rsidTr="00A07E69">
        <w:trPr>
          <w:trHeight w:val="756"/>
        </w:trPr>
        <w:tc>
          <w:tcPr>
            <w:tcW w:w="2448" w:type="dxa"/>
            <w:vAlign w:val="center"/>
          </w:tcPr>
          <w:p w14:paraId="51743D23" w14:textId="77777777" w:rsidR="00F613B7" w:rsidRDefault="00F613B7" w:rsidP="00A07E69">
            <w:pPr>
              <w:contextualSpacing/>
              <w:rPr>
                <w:rFonts w:eastAsiaTheme="minorEastAsia"/>
              </w:rPr>
            </w:pPr>
            <w:r>
              <w:rPr>
                <w:rFonts w:eastAsiaTheme="minorEastAsia"/>
              </w:rPr>
              <w:t>Difference</w:t>
            </w:r>
          </w:p>
          <w:p w14:paraId="735A503D" w14:textId="77777777" w:rsidR="00F613B7" w:rsidRDefault="00F613B7" w:rsidP="00A07E69">
            <w:pPr>
              <w:contextualSpacing/>
              <w:rPr>
                <w:rFonts w:eastAsiaTheme="minorEastAsia"/>
              </w:rPr>
            </w:pPr>
            <w:r>
              <w:rPr>
                <w:rFonts w:eastAsiaTheme="minorEastAsia"/>
              </w:rPr>
              <w:t>(Older-Young)</w:t>
            </w:r>
          </w:p>
        </w:tc>
        <w:tc>
          <w:tcPr>
            <w:tcW w:w="1915" w:type="dxa"/>
            <w:vAlign w:val="center"/>
          </w:tcPr>
          <w:p w14:paraId="6AC51CE8" w14:textId="4A7D363C" w:rsidR="00F613B7" w:rsidRDefault="00CA1404" w:rsidP="00255766">
            <w:pPr>
              <w:spacing w:before="0" w:after="0"/>
              <w:contextualSpacing/>
              <w:jc w:val="center"/>
              <w:rPr>
                <w:rFonts w:eastAsiaTheme="minorEastAsia"/>
              </w:rPr>
            </w:pPr>
            <m:oMathPara>
              <m:oMath>
                <m:sSub>
                  <m:sSubPr>
                    <m:ctrlPr>
                      <w:rPr>
                        <w:rFonts w:ascii="Cambria Math" w:hAnsi="Cambria Math"/>
                        <w:i/>
                      </w:rPr>
                    </m:ctrlPr>
                  </m:sSubPr>
                  <m:e>
                    <m:r>
                      <w:rPr>
                        <w:rFonts w:ascii="Cambria Math" w:hAnsi="Cambria Math"/>
                      </w:rPr>
                      <m:t>γ</m:t>
                    </m:r>
                  </m:e>
                  <m:sub>
                    <m:r>
                      <w:rPr>
                        <w:rFonts w:ascii="Cambria Math" w:hAnsi="Cambria Math"/>
                      </w:rPr>
                      <m:t>5</m:t>
                    </m:r>
                  </m:sub>
                </m:sSub>
              </m:oMath>
            </m:oMathPara>
          </w:p>
        </w:tc>
        <w:tc>
          <w:tcPr>
            <w:tcW w:w="2304" w:type="dxa"/>
            <w:vAlign w:val="center"/>
          </w:tcPr>
          <w:p w14:paraId="26F2EDF0" w14:textId="40967C14" w:rsidR="00F613B7" w:rsidRPr="001311DC" w:rsidRDefault="00CA1404" w:rsidP="00255766">
            <w:pPr>
              <w:spacing w:before="0" w:after="0"/>
              <w:contextualSpacing/>
              <w:jc w:val="center"/>
              <w:rPr>
                <w:rFonts w:eastAsiaTheme="minorEastAsia"/>
                <w:b/>
              </w:rPr>
            </w:pPr>
            <m:oMathPara>
              <m:oMath>
                <m:sSub>
                  <m:sSubPr>
                    <m:ctrlPr>
                      <w:rPr>
                        <w:rFonts w:ascii="Cambria Math" w:hAnsi="Cambria Math"/>
                        <w:i/>
                      </w:rPr>
                    </m:ctrlPr>
                  </m:sSubPr>
                  <m:e>
                    <m:r>
                      <w:rPr>
                        <w:rFonts w:ascii="Cambria Math" w:hAnsi="Cambria Math"/>
                      </w:rPr>
                      <m:t>γ</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7</m:t>
                    </m:r>
                  </m:sub>
                </m:sSub>
              </m:oMath>
            </m:oMathPara>
          </w:p>
        </w:tc>
        <w:tc>
          <w:tcPr>
            <w:tcW w:w="1915" w:type="dxa"/>
            <w:vAlign w:val="center"/>
          </w:tcPr>
          <w:p w14:paraId="509EDB31" w14:textId="77777777" w:rsidR="00F613B7" w:rsidRPr="0012399D" w:rsidRDefault="00CA1404" w:rsidP="00A07E69">
            <w:pPr>
              <w:spacing w:before="0" w:after="0"/>
              <w:contextualSpacing/>
              <w:jc w:val="center"/>
              <w:rPr>
                <w:rFonts w:eastAsiaTheme="minorEastAsia"/>
                <w:b/>
              </w:rPr>
            </w:pPr>
            <m:oMathPara>
              <m:oMath>
                <m:sSub>
                  <m:sSubPr>
                    <m:ctrlPr>
                      <w:rPr>
                        <w:rFonts w:ascii="Cambria Math" w:hAnsi="Cambria Math"/>
                        <w:b/>
                        <w:i/>
                      </w:rPr>
                    </m:ctrlPr>
                  </m:sSubPr>
                  <m:e>
                    <m:r>
                      <m:rPr>
                        <m:sty m:val="bi"/>
                      </m:rPr>
                      <w:rPr>
                        <w:rFonts w:ascii="Cambria Math" w:hAnsi="Cambria Math"/>
                      </w:rPr>
                      <m:t>γ</m:t>
                    </m:r>
                  </m:e>
                  <m:sub>
                    <m:r>
                      <m:rPr>
                        <m:sty m:val="bi"/>
                      </m:rPr>
                      <w:rPr>
                        <w:rFonts w:ascii="Cambria Math" w:hAnsi="Cambria Math"/>
                      </w:rPr>
                      <m:t>7</m:t>
                    </m:r>
                  </m:sub>
                </m:sSub>
              </m:oMath>
            </m:oMathPara>
          </w:p>
        </w:tc>
      </w:tr>
    </w:tbl>
    <w:p w14:paraId="69249104" w14:textId="16FA8B3A" w:rsidR="00F613B7" w:rsidRDefault="00F613B7" w:rsidP="00F613B7">
      <w:pPr>
        <w:spacing w:before="120" w:after="120"/>
      </w:pPr>
      <w:r>
        <w:t xml:space="preserve">The four upper, left cells represent four jurisdiction-year difference-in-differences for the four demographic categories shown (young renters, young owners, older renters, and older owners).  The bottom rows for the first two columns and right-most Column for the first rows represent triple differences.  The lower-right </w:t>
      </w:r>
      <w:r w:rsidR="009151E6">
        <w:t>represents the quadruple difference.</w:t>
      </w:r>
    </w:p>
    <w:p w14:paraId="4CB61151" w14:textId="77777777" w:rsidR="009151E6" w:rsidRDefault="009151E6">
      <w:pPr>
        <w:spacing w:before="0" w:after="160" w:line="259" w:lineRule="auto"/>
        <w:rPr>
          <w:b/>
        </w:rPr>
      </w:pPr>
      <w:r>
        <w:rPr>
          <w:b/>
        </w:rPr>
        <w:br w:type="page"/>
      </w:r>
    </w:p>
    <w:p w14:paraId="41C45B31" w14:textId="57009738" w:rsidR="009F5908" w:rsidRPr="0075584F" w:rsidRDefault="009F5908" w:rsidP="009F5908">
      <w:pPr>
        <w:rPr>
          <w:b/>
        </w:rPr>
      </w:pPr>
      <w:r w:rsidRPr="0075584F">
        <w:rPr>
          <w:b/>
        </w:rPr>
        <w:lastRenderedPageBreak/>
        <w:t xml:space="preserve">Table </w:t>
      </w:r>
      <w:r w:rsidR="00F613B7">
        <w:rPr>
          <w:b/>
        </w:rPr>
        <w:t>2</w:t>
      </w:r>
      <w:r w:rsidR="00C10FA6">
        <w:rPr>
          <w:b/>
        </w:rPr>
        <w:t xml:space="preserve">.  </w:t>
      </w:r>
      <w:r w:rsidRPr="0075584F">
        <w:rPr>
          <w:b/>
        </w:rPr>
        <w:t>Percent of jurisdictions with age-specific property exemptions, by jurisdiction type and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403"/>
        <w:gridCol w:w="1403"/>
        <w:gridCol w:w="1403"/>
        <w:gridCol w:w="1403"/>
        <w:gridCol w:w="1403"/>
      </w:tblGrid>
      <w:tr w:rsidR="0075584F" w:rsidRPr="0075584F" w14:paraId="7ABB2E88" w14:textId="77777777" w:rsidTr="00B1479D">
        <w:trPr>
          <w:trHeight w:val="432"/>
        </w:trPr>
        <w:tc>
          <w:tcPr>
            <w:tcW w:w="2335" w:type="dxa"/>
            <w:tcBorders>
              <w:top w:val="double" w:sz="4" w:space="0" w:color="auto"/>
              <w:bottom w:val="single" w:sz="4" w:space="0" w:color="auto"/>
            </w:tcBorders>
            <w:vAlign w:val="center"/>
          </w:tcPr>
          <w:p w14:paraId="24EB4570" w14:textId="77777777" w:rsidR="009F5908" w:rsidRPr="0075584F" w:rsidRDefault="009F5908" w:rsidP="00B1479D">
            <w:pPr>
              <w:widowControl w:val="0"/>
              <w:spacing w:before="120" w:after="120"/>
              <w:rPr>
                <w:b/>
              </w:rPr>
            </w:pPr>
            <w:r w:rsidRPr="0075584F">
              <w:rPr>
                <w:b/>
              </w:rPr>
              <w:t>Jurisdiction Type</w:t>
            </w:r>
          </w:p>
        </w:tc>
        <w:tc>
          <w:tcPr>
            <w:tcW w:w="1403" w:type="dxa"/>
            <w:tcBorders>
              <w:top w:val="double" w:sz="4" w:space="0" w:color="auto"/>
              <w:bottom w:val="single" w:sz="4" w:space="0" w:color="auto"/>
            </w:tcBorders>
            <w:vAlign w:val="center"/>
          </w:tcPr>
          <w:p w14:paraId="70D39CF8" w14:textId="77777777" w:rsidR="009F5908" w:rsidRPr="0075584F" w:rsidRDefault="009F5908" w:rsidP="00AA5C6B">
            <w:pPr>
              <w:widowControl w:val="0"/>
              <w:spacing w:before="120" w:after="120"/>
              <w:jc w:val="center"/>
              <w:rPr>
                <w:b/>
              </w:rPr>
            </w:pPr>
            <w:r w:rsidRPr="0075584F">
              <w:rPr>
                <w:b/>
              </w:rPr>
              <w:t>1970</w:t>
            </w:r>
          </w:p>
        </w:tc>
        <w:tc>
          <w:tcPr>
            <w:tcW w:w="1403" w:type="dxa"/>
            <w:tcBorders>
              <w:top w:val="double" w:sz="4" w:space="0" w:color="auto"/>
              <w:bottom w:val="single" w:sz="4" w:space="0" w:color="auto"/>
            </w:tcBorders>
            <w:vAlign w:val="center"/>
          </w:tcPr>
          <w:p w14:paraId="0139DAA5" w14:textId="77777777" w:rsidR="009F5908" w:rsidRPr="0075584F" w:rsidRDefault="009F5908" w:rsidP="00AA5C6B">
            <w:pPr>
              <w:widowControl w:val="0"/>
              <w:spacing w:before="120" w:after="120"/>
              <w:jc w:val="center"/>
              <w:rPr>
                <w:b/>
              </w:rPr>
            </w:pPr>
            <w:r w:rsidRPr="0075584F">
              <w:rPr>
                <w:b/>
              </w:rPr>
              <w:t>1980</w:t>
            </w:r>
          </w:p>
        </w:tc>
        <w:tc>
          <w:tcPr>
            <w:tcW w:w="1403" w:type="dxa"/>
            <w:tcBorders>
              <w:top w:val="double" w:sz="4" w:space="0" w:color="auto"/>
              <w:bottom w:val="single" w:sz="4" w:space="0" w:color="auto"/>
            </w:tcBorders>
            <w:vAlign w:val="center"/>
          </w:tcPr>
          <w:p w14:paraId="2385ABDB" w14:textId="77777777" w:rsidR="009F5908" w:rsidRPr="0075584F" w:rsidRDefault="009F5908" w:rsidP="00AA5C6B">
            <w:pPr>
              <w:widowControl w:val="0"/>
              <w:spacing w:before="120" w:after="120"/>
              <w:jc w:val="center"/>
              <w:rPr>
                <w:b/>
              </w:rPr>
            </w:pPr>
            <w:r w:rsidRPr="0075584F">
              <w:rPr>
                <w:b/>
              </w:rPr>
              <w:t>1990</w:t>
            </w:r>
          </w:p>
        </w:tc>
        <w:tc>
          <w:tcPr>
            <w:tcW w:w="1403" w:type="dxa"/>
            <w:tcBorders>
              <w:top w:val="double" w:sz="4" w:space="0" w:color="auto"/>
              <w:bottom w:val="single" w:sz="4" w:space="0" w:color="auto"/>
            </w:tcBorders>
            <w:vAlign w:val="center"/>
          </w:tcPr>
          <w:p w14:paraId="5A1EC813" w14:textId="77777777" w:rsidR="009F5908" w:rsidRPr="0075584F" w:rsidRDefault="009F5908" w:rsidP="00AA5C6B">
            <w:pPr>
              <w:widowControl w:val="0"/>
              <w:spacing w:before="120" w:after="120"/>
              <w:jc w:val="center"/>
              <w:rPr>
                <w:b/>
              </w:rPr>
            </w:pPr>
            <w:r w:rsidRPr="0075584F">
              <w:rPr>
                <w:b/>
              </w:rPr>
              <w:t>2000</w:t>
            </w:r>
          </w:p>
        </w:tc>
        <w:tc>
          <w:tcPr>
            <w:tcW w:w="1403" w:type="dxa"/>
            <w:tcBorders>
              <w:top w:val="double" w:sz="4" w:space="0" w:color="auto"/>
              <w:bottom w:val="single" w:sz="4" w:space="0" w:color="auto"/>
            </w:tcBorders>
            <w:vAlign w:val="center"/>
          </w:tcPr>
          <w:p w14:paraId="69EE6C3C" w14:textId="77777777" w:rsidR="009F5908" w:rsidRPr="0075584F" w:rsidRDefault="009F5908" w:rsidP="00AA5C6B">
            <w:pPr>
              <w:widowControl w:val="0"/>
              <w:spacing w:before="120" w:after="120"/>
              <w:jc w:val="center"/>
              <w:rPr>
                <w:b/>
              </w:rPr>
            </w:pPr>
            <w:r w:rsidRPr="0075584F">
              <w:rPr>
                <w:b/>
              </w:rPr>
              <w:t>2010</w:t>
            </w:r>
          </w:p>
        </w:tc>
      </w:tr>
      <w:tr w:rsidR="0075584F" w:rsidRPr="0075584F" w14:paraId="24DAB073" w14:textId="77777777" w:rsidTr="00B1479D">
        <w:trPr>
          <w:trHeight w:val="720"/>
        </w:trPr>
        <w:tc>
          <w:tcPr>
            <w:tcW w:w="2335" w:type="dxa"/>
            <w:tcBorders>
              <w:top w:val="single" w:sz="4" w:space="0" w:color="auto"/>
            </w:tcBorders>
            <w:vAlign w:val="center"/>
          </w:tcPr>
          <w:p w14:paraId="79F51775" w14:textId="77777777" w:rsidR="009F5908" w:rsidRPr="0075584F" w:rsidRDefault="009F5908" w:rsidP="00B1479D">
            <w:pPr>
              <w:widowControl w:val="0"/>
              <w:spacing w:before="60" w:after="60"/>
            </w:pPr>
            <w:r w:rsidRPr="0075584F">
              <w:t>Counties</w:t>
            </w:r>
          </w:p>
        </w:tc>
        <w:tc>
          <w:tcPr>
            <w:tcW w:w="1403" w:type="dxa"/>
            <w:tcBorders>
              <w:top w:val="single" w:sz="4" w:space="0" w:color="auto"/>
            </w:tcBorders>
            <w:vAlign w:val="center"/>
          </w:tcPr>
          <w:p w14:paraId="4A91CDAD" w14:textId="77777777" w:rsidR="009F5908" w:rsidRPr="0075584F" w:rsidRDefault="009F5908" w:rsidP="00B1479D">
            <w:pPr>
              <w:widowControl w:val="0"/>
              <w:spacing w:before="60" w:after="60"/>
              <w:ind w:right="432"/>
              <w:jc w:val="right"/>
            </w:pPr>
            <w:r w:rsidRPr="0075584F">
              <w:t>0.0</w:t>
            </w:r>
          </w:p>
        </w:tc>
        <w:tc>
          <w:tcPr>
            <w:tcW w:w="1403" w:type="dxa"/>
            <w:tcBorders>
              <w:top w:val="single" w:sz="4" w:space="0" w:color="auto"/>
            </w:tcBorders>
            <w:vAlign w:val="center"/>
          </w:tcPr>
          <w:p w14:paraId="568C4E85" w14:textId="77777777" w:rsidR="009F5908" w:rsidRPr="0075584F" w:rsidRDefault="009F5908" w:rsidP="00B1479D">
            <w:pPr>
              <w:widowControl w:val="0"/>
              <w:spacing w:before="60" w:after="60"/>
              <w:ind w:right="432"/>
              <w:jc w:val="right"/>
            </w:pPr>
            <w:r w:rsidRPr="0075584F">
              <w:t>3.1</w:t>
            </w:r>
          </w:p>
        </w:tc>
        <w:tc>
          <w:tcPr>
            <w:tcW w:w="1403" w:type="dxa"/>
            <w:tcBorders>
              <w:top w:val="single" w:sz="4" w:space="0" w:color="auto"/>
            </w:tcBorders>
            <w:vAlign w:val="center"/>
          </w:tcPr>
          <w:p w14:paraId="5FAD3B00" w14:textId="77777777" w:rsidR="009F5908" w:rsidRPr="0075584F" w:rsidRDefault="009F5908" w:rsidP="00B1479D">
            <w:pPr>
              <w:widowControl w:val="0"/>
              <w:spacing w:before="60" w:after="60"/>
              <w:ind w:right="432"/>
              <w:jc w:val="right"/>
            </w:pPr>
            <w:r w:rsidRPr="0075584F">
              <w:t>19.5</w:t>
            </w:r>
          </w:p>
        </w:tc>
        <w:tc>
          <w:tcPr>
            <w:tcW w:w="1403" w:type="dxa"/>
            <w:tcBorders>
              <w:top w:val="single" w:sz="4" w:space="0" w:color="auto"/>
            </w:tcBorders>
            <w:vAlign w:val="center"/>
          </w:tcPr>
          <w:p w14:paraId="13BD646A" w14:textId="77777777" w:rsidR="009F5908" w:rsidRPr="0075584F" w:rsidRDefault="009F5908" w:rsidP="00B1479D">
            <w:pPr>
              <w:widowControl w:val="0"/>
              <w:spacing w:before="60" w:after="60"/>
              <w:ind w:right="432"/>
              <w:jc w:val="right"/>
            </w:pPr>
            <w:r w:rsidRPr="0075584F">
              <w:t>35.9</w:t>
            </w:r>
          </w:p>
        </w:tc>
        <w:tc>
          <w:tcPr>
            <w:tcW w:w="1403" w:type="dxa"/>
            <w:tcBorders>
              <w:top w:val="single" w:sz="4" w:space="0" w:color="auto"/>
            </w:tcBorders>
            <w:vAlign w:val="center"/>
          </w:tcPr>
          <w:p w14:paraId="63C2022F" w14:textId="77777777" w:rsidR="009F5908" w:rsidRPr="0075584F" w:rsidRDefault="009F5908" w:rsidP="00B1479D">
            <w:pPr>
              <w:widowControl w:val="0"/>
              <w:spacing w:before="60" w:after="60"/>
              <w:ind w:right="432"/>
              <w:jc w:val="right"/>
            </w:pPr>
            <w:r w:rsidRPr="0075584F">
              <w:t>41.5</w:t>
            </w:r>
          </w:p>
        </w:tc>
      </w:tr>
      <w:tr w:rsidR="0075584F" w:rsidRPr="0075584F" w14:paraId="68E133D8" w14:textId="77777777" w:rsidTr="00B1479D">
        <w:trPr>
          <w:trHeight w:val="720"/>
        </w:trPr>
        <w:tc>
          <w:tcPr>
            <w:tcW w:w="2335" w:type="dxa"/>
            <w:vAlign w:val="center"/>
          </w:tcPr>
          <w:p w14:paraId="74AFEA6A" w14:textId="4E9E7B15" w:rsidR="00DB22D3" w:rsidRPr="0075584F" w:rsidRDefault="00DB22D3" w:rsidP="00B1479D">
            <w:pPr>
              <w:widowControl w:val="0"/>
              <w:spacing w:before="60" w:after="60"/>
            </w:pPr>
            <w:r w:rsidRPr="0075584F">
              <w:t xml:space="preserve">County </w:t>
            </w:r>
            <w:r w:rsidR="00306AB3">
              <w:br/>
            </w:r>
            <w:r w:rsidRPr="0075584F">
              <w:t>School Districts</w:t>
            </w:r>
          </w:p>
        </w:tc>
        <w:tc>
          <w:tcPr>
            <w:tcW w:w="1403" w:type="dxa"/>
            <w:vAlign w:val="center"/>
          </w:tcPr>
          <w:p w14:paraId="1BC0DF05" w14:textId="77777777" w:rsidR="00DB22D3" w:rsidRPr="0075584F" w:rsidRDefault="00DB22D3" w:rsidP="00B1479D">
            <w:pPr>
              <w:widowControl w:val="0"/>
              <w:spacing w:before="60" w:after="60"/>
              <w:ind w:right="432"/>
              <w:jc w:val="right"/>
            </w:pPr>
            <w:r w:rsidRPr="0075584F">
              <w:t>0.6</w:t>
            </w:r>
          </w:p>
        </w:tc>
        <w:tc>
          <w:tcPr>
            <w:tcW w:w="1403" w:type="dxa"/>
            <w:vAlign w:val="center"/>
          </w:tcPr>
          <w:p w14:paraId="513875B1" w14:textId="77777777" w:rsidR="00DB22D3" w:rsidRPr="0075584F" w:rsidRDefault="00DB22D3" w:rsidP="00B1479D">
            <w:pPr>
              <w:widowControl w:val="0"/>
              <w:spacing w:before="60" w:after="60"/>
              <w:ind w:right="432"/>
              <w:jc w:val="right"/>
            </w:pPr>
            <w:r w:rsidRPr="0075584F">
              <w:t>6.3</w:t>
            </w:r>
          </w:p>
        </w:tc>
        <w:tc>
          <w:tcPr>
            <w:tcW w:w="1403" w:type="dxa"/>
            <w:vAlign w:val="center"/>
          </w:tcPr>
          <w:p w14:paraId="7E07EDF3" w14:textId="77777777" w:rsidR="00DB22D3" w:rsidRPr="0075584F" w:rsidRDefault="00DB22D3" w:rsidP="00B1479D">
            <w:pPr>
              <w:widowControl w:val="0"/>
              <w:spacing w:before="60" w:after="60"/>
              <w:ind w:right="432"/>
              <w:jc w:val="right"/>
            </w:pPr>
            <w:r w:rsidRPr="0075584F">
              <w:t>33.3</w:t>
            </w:r>
          </w:p>
        </w:tc>
        <w:tc>
          <w:tcPr>
            <w:tcW w:w="1403" w:type="dxa"/>
            <w:vAlign w:val="center"/>
          </w:tcPr>
          <w:p w14:paraId="11407DA3" w14:textId="77777777" w:rsidR="00DB22D3" w:rsidRPr="0075584F" w:rsidRDefault="00DB22D3" w:rsidP="00B1479D">
            <w:pPr>
              <w:widowControl w:val="0"/>
              <w:spacing w:before="60" w:after="60"/>
              <w:ind w:right="432"/>
              <w:jc w:val="right"/>
            </w:pPr>
            <w:r w:rsidRPr="0075584F">
              <w:t>46.5</w:t>
            </w:r>
          </w:p>
        </w:tc>
        <w:tc>
          <w:tcPr>
            <w:tcW w:w="1403" w:type="dxa"/>
            <w:vAlign w:val="center"/>
          </w:tcPr>
          <w:p w14:paraId="7220A184" w14:textId="77777777" w:rsidR="00DB22D3" w:rsidRPr="0075584F" w:rsidRDefault="00DB22D3" w:rsidP="00B1479D">
            <w:pPr>
              <w:widowControl w:val="0"/>
              <w:spacing w:before="60" w:after="60"/>
              <w:ind w:right="432"/>
              <w:jc w:val="right"/>
            </w:pPr>
            <w:r w:rsidRPr="0075584F">
              <w:t>54.7</w:t>
            </w:r>
          </w:p>
        </w:tc>
      </w:tr>
      <w:tr w:rsidR="0075584F" w:rsidRPr="0075584F" w14:paraId="399D2873" w14:textId="77777777" w:rsidTr="00B1479D">
        <w:trPr>
          <w:trHeight w:val="720"/>
        </w:trPr>
        <w:tc>
          <w:tcPr>
            <w:tcW w:w="2335" w:type="dxa"/>
            <w:vAlign w:val="center"/>
          </w:tcPr>
          <w:p w14:paraId="228EDF14" w14:textId="77777777" w:rsidR="009F5908" w:rsidRPr="0075584F" w:rsidRDefault="009F5908" w:rsidP="00B1479D">
            <w:pPr>
              <w:widowControl w:val="0"/>
              <w:spacing w:before="60" w:after="60"/>
            </w:pPr>
            <w:r w:rsidRPr="0075584F">
              <w:t>Cities</w:t>
            </w:r>
          </w:p>
        </w:tc>
        <w:tc>
          <w:tcPr>
            <w:tcW w:w="1403" w:type="dxa"/>
            <w:vAlign w:val="center"/>
          </w:tcPr>
          <w:p w14:paraId="5E10D489" w14:textId="77777777" w:rsidR="009F5908" w:rsidRPr="0075584F" w:rsidRDefault="009F5908" w:rsidP="00B1479D">
            <w:pPr>
              <w:widowControl w:val="0"/>
              <w:spacing w:before="60" w:after="60"/>
              <w:ind w:right="432"/>
              <w:jc w:val="right"/>
            </w:pPr>
            <w:r w:rsidRPr="0075584F">
              <w:t>3.6</w:t>
            </w:r>
          </w:p>
        </w:tc>
        <w:tc>
          <w:tcPr>
            <w:tcW w:w="1403" w:type="dxa"/>
            <w:vAlign w:val="center"/>
          </w:tcPr>
          <w:p w14:paraId="46B6768B" w14:textId="77777777" w:rsidR="009F5908" w:rsidRPr="0075584F" w:rsidRDefault="009F5908" w:rsidP="00B1479D">
            <w:pPr>
              <w:widowControl w:val="0"/>
              <w:spacing w:before="60" w:after="60"/>
              <w:ind w:right="432"/>
              <w:jc w:val="right"/>
            </w:pPr>
            <w:r w:rsidRPr="0075584F">
              <w:t>15.7</w:t>
            </w:r>
          </w:p>
        </w:tc>
        <w:tc>
          <w:tcPr>
            <w:tcW w:w="1403" w:type="dxa"/>
            <w:vAlign w:val="center"/>
          </w:tcPr>
          <w:p w14:paraId="60EE861D" w14:textId="77777777" w:rsidR="009F5908" w:rsidRPr="0075584F" w:rsidRDefault="009F5908" w:rsidP="00B1479D">
            <w:pPr>
              <w:widowControl w:val="0"/>
              <w:spacing w:before="60" w:after="60"/>
              <w:ind w:right="432"/>
              <w:jc w:val="right"/>
            </w:pPr>
            <w:r w:rsidRPr="0075584F">
              <w:t>19.6</w:t>
            </w:r>
          </w:p>
        </w:tc>
        <w:tc>
          <w:tcPr>
            <w:tcW w:w="1403" w:type="dxa"/>
            <w:vAlign w:val="center"/>
          </w:tcPr>
          <w:p w14:paraId="399BFBA6" w14:textId="77777777" w:rsidR="009F5908" w:rsidRPr="0075584F" w:rsidRDefault="009F5908" w:rsidP="00B1479D">
            <w:pPr>
              <w:widowControl w:val="0"/>
              <w:spacing w:before="60" w:after="60"/>
              <w:ind w:right="432"/>
              <w:jc w:val="right"/>
            </w:pPr>
            <w:r w:rsidRPr="0075584F">
              <w:t>31.3</w:t>
            </w:r>
          </w:p>
        </w:tc>
        <w:tc>
          <w:tcPr>
            <w:tcW w:w="1403" w:type="dxa"/>
            <w:vAlign w:val="center"/>
          </w:tcPr>
          <w:p w14:paraId="3011E579" w14:textId="77777777" w:rsidR="009F5908" w:rsidRPr="0075584F" w:rsidRDefault="009F5908" w:rsidP="00B1479D">
            <w:pPr>
              <w:widowControl w:val="0"/>
              <w:spacing w:before="60" w:after="60"/>
              <w:ind w:right="432"/>
              <w:jc w:val="right"/>
            </w:pPr>
            <w:r w:rsidRPr="0075584F">
              <w:t>36.9</w:t>
            </w:r>
          </w:p>
        </w:tc>
      </w:tr>
      <w:tr w:rsidR="009F5908" w:rsidRPr="0075584F" w14:paraId="13610A7E" w14:textId="77777777" w:rsidTr="00B1479D">
        <w:trPr>
          <w:trHeight w:val="720"/>
        </w:trPr>
        <w:tc>
          <w:tcPr>
            <w:tcW w:w="2335" w:type="dxa"/>
            <w:tcBorders>
              <w:bottom w:val="double" w:sz="4" w:space="0" w:color="auto"/>
            </w:tcBorders>
            <w:vAlign w:val="center"/>
          </w:tcPr>
          <w:p w14:paraId="5D25A748" w14:textId="30E4A58D" w:rsidR="009F5908" w:rsidRPr="0075584F" w:rsidRDefault="009F5908" w:rsidP="00B1479D">
            <w:pPr>
              <w:widowControl w:val="0"/>
              <w:spacing w:before="60" w:after="60"/>
            </w:pPr>
            <w:r w:rsidRPr="0075584F">
              <w:t xml:space="preserve">City </w:t>
            </w:r>
            <w:r w:rsidR="00306AB3">
              <w:br/>
            </w:r>
            <w:r w:rsidRPr="0075584F">
              <w:t>School Districts</w:t>
            </w:r>
          </w:p>
        </w:tc>
        <w:tc>
          <w:tcPr>
            <w:tcW w:w="1403" w:type="dxa"/>
            <w:tcBorders>
              <w:bottom w:val="double" w:sz="4" w:space="0" w:color="auto"/>
            </w:tcBorders>
            <w:vAlign w:val="center"/>
          </w:tcPr>
          <w:p w14:paraId="088F5764" w14:textId="77777777" w:rsidR="009F5908" w:rsidRPr="0075584F" w:rsidRDefault="009F5908" w:rsidP="00B1479D">
            <w:pPr>
              <w:widowControl w:val="0"/>
              <w:spacing w:before="60" w:after="60"/>
              <w:ind w:right="432"/>
              <w:jc w:val="right"/>
            </w:pPr>
            <w:r w:rsidRPr="0075584F">
              <w:t>3.9</w:t>
            </w:r>
          </w:p>
        </w:tc>
        <w:tc>
          <w:tcPr>
            <w:tcW w:w="1403" w:type="dxa"/>
            <w:tcBorders>
              <w:bottom w:val="double" w:sz="4" w:space="0" w:color="auto"/>
            </w:tcBorders>
            <w:vAlign w:val="center"/>
          </w:tcPr>
          <w:p w14:paraId="7E184FD2" w14:textId="77777777" w:rsidR="009F5908" w:rsidRPr="0075584F" w:rsidRDefault="009F5908" w:rsidP="00B1479D">
            <w:pPr>
              <w:widowControl w:val="0"/>
              <w:spacing w:before="60" w:after="60"/>
              <w:ind w:right="432"/>
              <w:jc w:val="right"/>
            </w:pPr>
            <w:r w:rsidRPr="0075584F">
              <w:t>19.2</w:t>
            </w:r>
          </w:p>
        </w:tc>
        <w:tc>
          <w:tcPr>
            <w:tcW w:w="1403" w:type="dxa"/>
            <w:tcBorders>
              <w:bottom w:val="double" w:sz="4" w:space="0" w:color="auto"/>
            </w:tcBorders>
            <w:vAlign w:val="center"/>
          </w:tcPr>
          <w:p w14:paraId="05BB29D9" w14:textId="77777777" w:rsidR="009F5908" w:rsidRPr="0075584F" w:rsidRDefault="009F5908" w:rsidP="00B1479D">
            <w:pPr>
              <w:widowControl w:val="0"/>
              <w:spacing w:before="60" w:after="60"/>
              <w:ind w:right="432"/>
              <w:jc w:val="right"/>
            </w:pPr>
            <w:r w:rsidRPr="0075584F">
              <w:t>37.0</w:t>
            </w:r>
          </w:p>
        </w:tc>
        <w:tc>
          <w:tcPr>
            <w:tcW w:w="1403" w:type="dxa"/>
            <w:tcBorders>
              <w:bottom w:val="double" w:sz="4" w:space="0" w:color="auto"/>
            </w:tcBorders>
            <w:vAlign w:val="center"/>
          </w:tcPr>
          <w:p w14:paraId="7841155D" w14:textId="77777777" w:rsidR="009F5908" w:rsidRPr="0075584F" w:rsidRDefault="009F5908" w:rsidP="00B1479D">
            <w:pPr>
              <w:widowControl w:val="0"/>
              <w:spacing w:before="60" w:after="60"/>
              <w:ind w:right="432"/>
              <w:jc w:val="right"/>
            </w:pPr>
            <w:r w:rsidRPr="0075584F">
              <w:t>53.9</w:t>
            </w:r>
          </w:p>
        </w:tc>
        <w:tc>
          <w:tcPr>
            <w:tcW w:w="1403" w:type="dxa"/>
            <w:tcBorders>
              <w:bottom w:val="double" w:sz="4" w:space="0" w:color="auto"/>
            </w:tcBorders>
            <w:vAlign w:val="center"/>
          </w:tcPr>
          <w:p w14:paraId="73DD7F14" w14:textId="77777777" w:rsidR="009F5908" w:rsidRPr="0075584F" w:rsidRDefault="009F5908" w:rsidP="00B1479D">
            <w:pPr>
              <w:widowControl w:val="0"/>
              <w:spacing w:before="60" w:after="60"/>
              <w:ind w:right="432"/>
              <w:jc w:val="right"/>
            </w:pPr>
            <w:r w:rsidRPr="0075584F">
              <w:t>61.5</w:t>
            </w:r>
          </w:p>
        </w:tc>
      </w:tr>
    </w:tbl>
    <w:p w14:paraId="31B530E4" w14:textId="77777777" w:rsidR="00DC1D7B" w:rsidRDefault="00DC1D7B" w:rsidP="009F5908"/>
    <w:p w14:paraId="0CDC50BA" w14:textId="7FC31F52" w:rsidR="009F5908" w:rsidRPr="00DC1D7B" w:rsidRDefault="00DC1D7B" w:rsidP="009151E6">
      <w:pPr>
        <w:spacing w:after="0"/>
        <w:contextualSpacing/>
        <w:rPr>
          <w:b/>
        </w:rPr>
      </w:pPr>
      <w:r>
        <w:br w:type="page"/>
      </w:r>
      <w:r w:rsidRPr="00DC1D7B">
        <w:rPr>
          <w:b/>
        </w:rPr>
        <w:lastRenderedPageBreak/>
        <w:t xml:space="preserve">Table </w:t>
      </w:r>
      <w:r w:rsidR="00815F99">
        <w:rPr>
          <w:b/>
        </w:rPr>
        <w:t>3</w:t>
      </w:r>
      <w:r w:rsidR="00C10FA6">
        <w:rPr>
          <w:b/>
        </w:rPr>
        <w:t xml:space="preserve">.  </w:t>
      </w:r>
      <w:r w:rsidRPr="00DC1D7B">
        <w:rPr>
          <w:b/>
        </w:rPr>
        <w:t>County Summary Statistics</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2531"/>
        <w:gridCol w:w="1078"/>
        <w:gridCol w:w="1078"/>
        <w:gridCol w:w="1078"/>
        <w:gridCol w:w="1188"/>
        <w:gridCol w:w="1188"/>
      </w:tblGrid>
      <w:tr w:rsidR="008925B8" w:rsidRPr="00DC1D7B" w14:paraId="79201968" w14:textId="77777777" w:rsidTr="003067B3">
        <w:trPr>
          <w:trHeight w:val="300"/>
        </w:trPr>
        <w:tc>
          <w:tcPr>
            <w:tcW w:w="0" w:type="auto"/>
            <w:tcBorders>
              <w:top w:val="double" w:sz="4" w:space="0" w:color="auto"/>
              <w:bottom w:val="single" w:sz="4" w:space="0" w:color="auto"/>
            </w:tcBorders>
            <w:shd w:val="clear" w:color="auto" w:fill="auto"/>
            <w:noWrap/>
            <w:vAlign w:val="bottom"/>
            <w:hideMark/>
          </w:tcPr>
          <w:p w14:paraId="19B1FDE8" w14:textId="77777777" w:rsidR="008925B8" w:rsidRPr="00DC1D7B" w:rsidRDefault="008925B8" w:rsidP="00DC1D7B">
            <w:pPr>
              <w:spacing w:before="0" w:after="0"/>
              <w:rPr>
                <w:rFonts w:eastAsia="Times New Roman"/>
                <w:sz w:val="20"/>
                <w:szCs w:val="20"/>
              </w:rPr>
            </w:pPr>
          </w:p>
        </w:tc>
        <w:tc>
          <w:tcPr>
            <w:tcW w:w="0" w:type="auto"/>
            <w:tcBorders>
              <w:top w:val="double" w:sz="4" w:space="0" w:color="auto"/>
              <w:bottom w:val="single" w:sz="4" w:space="0" w:color="auto"/>
            </w:tcBorders>
            <w:shd w:val="clear" w:color="auto" w:fill="auto"/>
            <w:noWrap/>
            <w:vAlign w:val="bottom"/>
            <w:hideMark/>
          </w:tcPr>
          <w:p w14:paraId="5C666F7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1970</w:t>
            </w:r>
          </w:p>
        </w:tc>
        <w:tc>
          <w:tcPr>
            <w:tcW w:w="0" w:type="auto"/>
            <w:tcBorders>
              <w:top w:val="double" w:sz="4" w:space="0" w:color="auto"/>
              <w:bottom w:val="single" w:sz="4" w:space="0" w:color="auto"/>
            </w:tcBorders>
            <w:shd w:val="clear" w:color="auto" w:fill="auto"/>
            <w:noWrap/>
            <w:vAlign w:val="bottom"/>
            <w:hideMark/>
          </w:tcPr>
          <w:p w14:paraId="60CE2AC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1980</w:t>
            </w:r>
          </w:p>
        </w:tc>
        <w:tc>
          <w:tcPr>
            <w:tcW w:w="0" w:type="auto"/>
            <w:tcBorders>
              <w:top w:val="double" w:sz="4" w:space="0" w:color="auto"/>
              <w:bottom w:val="single" w:sz="4" w:space="0" w:color="auto"/>
            </w:tcBorders>
            <w:shd w:val="clear" w:color="auto" w:fill="auto"/>
            <w:noWrap/>
            <w:vAlign w:val="bottom"/>
            <w:hideMark/>
          </w:tcPr>
          <w:p w14:paraId="604CD1C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1990</w:t>
            </w:r>
          </w:p>
        </w:tc>
        <w:tc>
          <w:tcPr>
            <w:tcW w:w="0" w:type="auto"/>
            <w:tcBorders>
              <w:top w:val="double" w:sz="4" w:space="0" w:color="auto"/>
              <w:bottom w:val="single" w:sz="4" w:space="0" w:color="auto"/>
            </w:tcBorders>
            <w:shd w:val="clear" w:color="auto" w:fill="auto"/>
            <w:noWrap/>
            <w:vAlign w:val="bottom"/>
            <w:hideMark/>
          </w:tcPr>
          <w:p w14:paraId="7E18172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2000</w:t>
            </w:r>
          </w:p>
        </w:tc>
        <w:tc>
          <w:tcPr>
            <w:tcW w:w="0" w:type="auto"/>
            <w:tcBorders>
              <w:top w:val="double" w:sz="4" w:space="0" w:color="auto"/>
              <w:bottom w:val="single" w:sz="4" w:space="0" w:color="auto"/>
            </w:tcBorders>
            <w:shd w:val="clear" w:color="auto" w:fill="auto"/>
            <w:noWrap/>
            <w:vAlign w:val="bottom"/>
            <w:hideMark/>
          </w:tcPr>
          <w:p w14:paraId="7D3C3F66"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2010</w:t>
            </w:r>
          </w:p>
        </w:tc>
      </w:tr>
      <w:tr w:rsidR="003067B3" w:rsidRPr="00DC1D7B" w14:paraId="1180A89F" w14:textId="77777777" w:rsidTr="003067B3">
        <w:trPr>
          <w:trHeight w:val="300"/>
        </w:trPr>
        <w:tc>
          <w:tcPr>
            <w:tcW w:w="0" w:type="auto"/>
            <w:tcBorders>
              <w:top w:val="single" w:sz="4" w:space="0" w:color="auto"/>
              <w:bottom w:val="single" w:sz="4" w:space="0" w:color="auto"/>
            </w:tcBorders>
            <w:shd w:val="clear" w:color="auto" w:fill="auto"/>
            <w:noWrap/>
            <w:vAlign w:val="bottom"/>
          </w:tcPr>
          <w:p w14:paraId="38D3DC5C" w14:textId="77777777" w:rsidR="003067B3" w:rsidRPr="00DC1D7B" w:rsidRDefault="003067B3" w:rsidP="00DC1D7B">
            <w:pPr>
              <w:spacing w:before="0" w:after="0"/>
              <w:rPr>
                <w:rFonts w:eastAsia="Times New Roman"/>
                <w:color w:val="000000"/>
                <w:sz w:val="22"/>
                <w:szCs w:val="22"/>
              </w:rPr>
            </w:pPr>
          </w:p>
        </w:tc>
        <w:tc>
          <w:tcPr>
            <w:tcW w:w="0" w:type="auto"/>
            <w:gridSpan w:val="5"/>
            <w:tcBorders>
              <w:top w:val="single" w:sz="4" w:space="0" w:color="auto"/>
              <w:bottom w:val="single" w:sz="4" w:space="0" w:color="auto"/>
            </w:tcBorders>
            <w:shd w:val="clear" w:color="auto" w:fill="auto"/>
            <w:noWrap/>
            <w:vAlign w:val="bottom"/>
          </w:tcPr>
          <w:p w14:paraId="32B9806D" w14:textId="77294D7B" w:rsidR="003067B3" w:rsidRPr="00DC1D7B" w:rsidRDefault="003067B3" w:rsidP="003067B3">
            <w:pPr>
              <w:spacing w:before="0" w:after="0"/>
              <w:jc w:val="center"/>
              <w:rPr>
                <w:rFonts w:eastAsia="Times New Roman"/>
                <w:color w:val="000000"/>
                <w:sz w:val="22"/>
                <w:szCs w:val="22"/>
              </w:rPr>
            </w:pPr>
            <w:r>
              <w:rPr>
                <w:rFonts w:eastAsia="Times New Roman"/>
                <w:color w:val="000000"/>
                <w:sz w:val="22"/>
                <w:szCs w:val="22"/>
              </w:rPr>
              <w:t>Panel A</w:t>
            </w:r>
          </w:p>
        </w:tc>
      </w:tr>
      <w:tr w:rsidR="003067B3" w:rsidRPr="00DC1D7B" w14:paraId="7C5BF9CA" w14:textId="77777777" w:rsidTr="003067B3">
        <w:trPr>
          <w:trHeight w:val="300"/>
        </w:trPr>
        <w:tc>
          <w:tcPr>
            <w:tcW w:w="0" w:type="auto"/>
            <w:tcBorders>
              <w:top w:val="single" w:sz="4" w:space="0" w:color="auto"/>
            </w:tcBorders>
            <w:shd w:val="clear" w:color="auto" w:fill="auto"/>
            <w:noWrap/>
            <w:vAlign w:val="bottom"/>
            <w:hideMark/>
          </w:tcPr>
          <w:p w14:paraId="0FD19922" w14:textId="77777777" w:rsidR="003067B3" w:rsidRPr="00DC1D7B" w:rsidRDefault="003067B3" w:rsidP="00DC1D7B">
            <w:pPr>
              <w:spacing w:before="0" w:after="0"/>
              <w:rPr>
                <w:rFonts w:eastAsia="Times New Roman"/>
                <w:color w:val="000000"/>
                <w:sz w:val="22"/>
                <w:szCs w:val="22"/>
              </w:rPr>
            </w:pPr>
            <w:r>
              <w:rPr>
                <w:rFonts w:eastAsia="Times New Roman"/>
                <w:color w:val="000000"/>
                <w:sz w:val="22"/>
                <w:szCs w:val="22"/>
              </w:rPr>
              <w:t>Weighted Indicator</w:t>
            </w:r>
          </w:p>
        </w:tc>
        <w:tc>
          <w:tcPr>
            <w:tcW w:w="0" w:type="auto"/>
            <w:tcBorders>
              <w:top w:val="single" w:sz="4" w:space="0" w:color="auto"/>
            </w:tcBorders>
            <w:shd w:val="clear" w:color="auto" w:fill="auto"/>
            <w:noWrap/>
            <w:vAlign w:val="bottom"/>
            <w:hideMark/>
          </w:tcPr>
          <w:p w14:paraId="76EC57C2" w14:textId="77777777" w:rsidR="003067B3" w:rsidRPr="00DC1D7B" w:rsidRDefault="003067B3" w:rsidP="00C30EC9">
            <w:pPr>
              <w:spacing w:before="0" w:after="0"/>
              <w:jc w:val="center"/>
              <w:rPr>
                <w:rFonts w:eastAsia="Times New Roman"/>
                <w:color w:val="000000"/>
                <w:sz w:val="22"/>
                <w:szCs w:val="22"/>
              </w:rPr>
            </w:pPr>
            <w:r w:rsidRPr="00DC1D7B">
              <w:rPr>
                <w:rFonts w:eastAsia="Times New Roman"/>
                <w:color w:val="000000"/>
                <w:sz w:val="22"/>
                <w:szCs w:val="22"/>
              </w:rPr>
              <w:t>0.0048</w:t>
            </w:r>
          </w:p>
        </w:tc>
        <w:tc>
          <w:tcPr>
            <w:tcW w:w="0" w:type="auto"/>
            <w:tcBorders>
              <w:top w:val="single" w:sz="4" w:space="0" w:color="auto"/>
            </w:tcBorders>
            <w:shd w:val="clear" w:color="auto" w:fill="auto"/>
            <w:noWrap/>
            <w:vAlign w:val="bottom"/>
            <w:hideMark/>
          </w:tcPr>
          <w:p w14:paraId="63EFA656"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0.0275</w:t>
            </w:r>
          </w:p>
        </w:tc>
        <w:tc>
          <w:tcPr>
            <w:tcW w:w="0" w:type="auto"/>
            <w:tcBorders>
              <w:top w:val="single" w:sz="4" w:space="0" w:color="auto"/>
            </w:tcBorders>
            <w:shd w:val="clear" w:color="auto" w:fill="auto"/>
            <w:noWrap/>
            <w:vAlign w:val="bottom"/>
            <w:hideMark/>
          </w:tcPr>
          <w:p w14:paraId="7BCD0AA1" w14:textId="77777777" w:rsidR="003067B3" w:rsidRPr="00DC1D7B" w:rsidRDefault="003067B3" w:rsidP="00C30EC9">
            <w:pPr>
              <w:spacing w:before="0" w:after="0"/>
              <w:jc w:val="center"/>
              <w:rPr>
                <w:rFonts w:eastAsia="Times New Roman"/>
                <w:color w:val="000000"/>
                <w:sz w:val="22"/>
                <w:szCs w:val="22"/>
              </w:rPr>
            </w:pPr>
            <w:r w:rsidRPr="00DC1D7B">
              <w:rPr>
                <w:rFonts w:eastAsia="Times New Roman"/>
                <w:color w:val="000000"/>
                <w:sz w:val="22"/>
                <w:szCs w:val="22"/>
              </w:rPr>
              <w:t>0.15</w:t>
            </w:r>
            <w:r>
              <w:rPr>
                <w:rFonts w:eastAsia="Times New Roman"/>
                <w:color w:val="000000"/>
                <w:sz w:val="22"/>
                <w:szCs w:val="22"/>
              </w:rPr>
              <w:t>5</w:t>
            </w:r>
          </w:p>
        </w:tc>
        <w:tc>
          <w:tcPr>
            <w:tcW w:w="0" w:type="auto"/>
            <w:tcBorders>
              <w:top w:val="single" w:sz="4" w:space="0" w:color="auto"/>
            </w:tcBorders>
            <w:shd w:val="clear" w:color="auto" w:fill="auto"/>
            <w:noWrap/>
            <w:vAlign w:val="bottom"/>
            <w:hideMark/>
          </w:tcPr>
          <w:p w14:paraId="041DB715"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0.241</w:t>
            </w:r>
          </w:p>
        </w:tc>
        <w:tc>
          <w:tcPr>
            <w:tcW w:w="0" w:type="auto"/>
            <w:tcBorders>
              <w:top w:val="single" w:sz="4" w:space="0" w:color="auto"/>
            </w:tcBorders>
            <w:shd w:val="clear" w:color="auto" w:fill="auto"/>
            <w:noWrap/>
            <w:vAlign w:val="bottom"/>
            <w:hideMark/>
          </w:tcPr>
          <w:p w14:paraId="03054606" w14:textId="77777777" w:rsidR="003067B3" w:rsidRPr="00DC1D7B" w:rsidRDefault="003067B3" w:rsidP="00C30EC9">
            <w:pPr>
              <w:spacing w:before="0" w:after="0"/>
              <w:jc w:val="center"/>
              <w:rPr>
                <w:rFonts w:eastAsia="Times New Roman"/>
                <w:color w:val="000000"/>
                <w:sz w:val="22"/>
                <w:szCs w:val="22"/>
              </w:rPr>
            </w:pPr>
            <w:r w:rsidRPr="00DC1D7B">
              <w:rPr>
                <w:rFonts w:eastAsia="Times New Roman"/>
                <w:color w:val="000000"/>
                <w:sz w:val="22"/>
                <w:szCs w:val="22"/>
              </w:rPr>
              <w:t>0.</w:t>
            </w:r>
            <w:r>
              <w:rPr>
                <w:rFonts w:eastAsia="Times New Roman"/>
                <w:color w:val="000000"/>
                <w:sz w:val="22"/>
                <w:szCs w:val="22"/>
              </w:rPr>
              <w:t>36</w:t>
            </w:r>
            <w:r w:rsidRPr="00DC1D7B">
              <w:rPr>
                <w:rFonts w:eastAsia="Times New Roman"/>
                <w:color w:val="000000"/>
                <w:sz w:val="22"/>
                <w:szCs w:val="22"/>
              </w:rPr>
              <w:t>9</w:t>
            </w:r>
          </w:p>
        </w:tc>
      </w:tr>
      <w:tr w:rsidR="003067B3" w:rsidRPr="00DC1D7B" w14:paraId="275596D8" w14:textId="77777777" w:rsidTr="00A9446C">
        <w:trPr>
          <w:trHeight w:val="300"/>
        </w:trPr>
        <w:tc>
          <w:tcPr>
            <w:tcW w:w="0" w:type="auto"/>
            <w:shd w:val="clear" w:color="auto" w:fill="auto"/>
            <w:noWrap/>
            <w:vAlign w:val="bottom"/>
            <w:hideMark/>
          </w:tcPr>
          <w:p w14:paraId="6F8AC1A1" w14:textId="77777777" w:rsidR="003067B3" w:rsidRPr="00DC1D7B" w:rsidRDefault="003067B3" w:rsidP="00DC1D7B">
            <w:pPr>
              <w:spacing w:before="0" w:after="0"/>
              <w:rPr>
                <w:rFonts w:eastAsia="Times New Roman"/>
                <w:color w:val="000000"/>
                <w:sz w:val="22"/>
                <w:szCs w:val="22"/>
              </w:rPr>
            </w:pPr>
          </w:p>
        </w:tc>
        <w:tc>
          <w:tcPr>
            <w:tcW w:w="0" w:type="auto"/>
            <w:shd w:val="clear" w:color="auto" w:fill="auto"/>
            <w:noWrap/>
            <w:vAlign w:val="bottom"/>
            <w:hideMark/>
          </w:tcPr>
          <w:p w14:paraId="39332903"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(0.0470)</w:t>
            </w:r>
          </w:p>
        </w:tc>
        <w:tc>
          <w:tcPr>
            <w:tcW w:w="0" w:type="auto"/>
            <w:shd w:val="clear" w:color="auto" w:fill="auto"/>
            <w:noWrap/>
            <w:vAlign w:val="bottom"/>
            <w:hideMark/>
          </w:tcPr>
          <w:p w14:paraId="7AB924BD"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(0.113)</w:t>
            </w:r>
          </w:p>
        </w:tc>
        <w:tc>
          <w:tcPr>
            <w:tcW w:w="0" w:type="auto"/>
            <w:shd w:val="clear" w:color="auto" w:fill="auto"/>
            <w:noWrap/>
            <w:vAlign w:val="bottom"/>
            <w:hideMark/>
          </w:tcPr>
          <w:p w14:paraId="2BC35FE5"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(0.247)</w:t>
            </w:r>
          </w:p>
        </w:tc>
        <w:tc>
          <w:tcPr>
            <w:tcW w:w="0" w:type="auto"/>
            <w:shd w:val="clear" w:color="auto" w:fill="auto"/>
            <w:noWrap/>
            <w:vAlign w:val="bottom"/>
            <w:hideMark/>
          </w:tcPr>
          <w:p w14:paraId="0142AA23"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(0.309)</w:t>
            </w:r>
          </w:p>
        </w:tc>
        <w:tc>
          <w:tcPr>
            <w:tcW w:w="0" w:type="auto"/>
            <w:shd w:val="clear" w:color="auto" w:fill="auto"/>
            <w:noWrap/>
            <w:vAlign w:val="bottom"/>
            <w:hideMark/>
          </w:tcPr>
          <w:p w14:paraId="7585C14D"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(0.396)</w:t>
            </w:r>
          </w:p>
        </w:tc>
      </w:tr>
      <w:tr w:rsidR="003067B3" w:rsidRPr="00DC1D7B" w14:paraId="6844DDCD" w14:textId="77777777" w:rsidTr="00A9446C">
        <w:trPr>
          <w:trHeight w:val="300"/>
        </w:trPr>
        <w:tc>
          <w:tcPr>
            <w:tcW w:w="0" w:type="auto"/>
            <w:shd w:val="clear" w:color="auto" w:fill="auto"/>
            <w:noWrap/>
            <w:vAlign w:val="bottom"/>
            <w:hideMark/>
          </w:tcPr>
          <w:p w14:paraId="1988A2D4" w14:textId="77777777" w:rsidR="003067B3" w:rsidRPr="00DC1D7B" w:rsidRDefault="003067B3" w:rsidP="00DC1D7B">
            <w:pPr>
              <w:spacing w:before="0" w:after="0"/>
              <w:rPr>
                <w:rFonts w:eastAsia="Times New Roman"/>
                <w:color w:val="000000"/>
                <w:sz w:val="22"/>
                <w:szCs w:val="22"/>
              </w:rPr>
            </w:pPr>
            <w:r>
              <w:rPr>
                <w:rFonts w:eastAsia="Times New Roman"/>
                <w:color w:val="000000"/>
                <w:sz w:val="22"/>
                <w:szCs w:val="22"/>
              </w:rPr>
              <w:t>Simulated Taxes under 65</w:t>
            </w:r>
          </w:p>
        </w:tc>
        <w:tc>
          <w:tcPr>
            <w:tcW w:w="0" w:type="auto"/>
            <w:shd w:val="clear" w:color="auto" w:fill="auto"/>
            <w:noWrap/>
            <w:vAlign w:val="bottom"/>
            <w:hideMark/>
          </w:tcPr>
          <w:p w14:paraId="29DB67FF"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136.6</w:t>
            </w:r>
          </w:p>
        </w:tc>
        <w:tc>
          <w:tcPr>
            <w:tcW w:w="0" w:type="auto"/>
            <w:shd w:val="clear" w:color="auto" w:fill="auto"/>
            <w:noWrap/>
            <w:vAlign w:val="bottom"/>
            <w:hideMark/>
          </w:tcPr>
          <w:p w14:paraId="61317854"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422.1</w:t>
            </w:r>
          </w:p>
        </w:tc>
        <w:tc>
          <w:tcPr>
            <w:tcW w:w="0" w:type="auto"/>
            <w:shd w:val="clear" w:color="auto" w:fill="auto"/>
            <w:noWrap/>
            <w:vAlign w:val="bottom"/>
            <w:hideMark/>
          </w:tcPr>
          <w:p w14:paraId="41E20E6D"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902.2</w:t>
            </w:r>
          </w:p>
        </w:tc>
        <w:tc>
          <w:tcPr>
            <w:tcW w:w="0" w:type="auto"/>
            <w:shd w:val="clear" w:color="auto" w:fill="auto"/>
            <w:noWrap/>
            <w:vAlign w:val="bottom"/>
            <w:hideMark/>
          </w:tcPr>
          <w:p w14:paraId="18503242"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1488.7</w:t>
            </w:r>
          </w:p>
        </w:tc>
        <w:tc>
          <w:tcPr>
            <w:tcW w:w="0" w:type="auto"/>
            <w:shd w:val="clear" w:color="auto" w:fill="auto"/>
            <w:noWrap/>
            <w:vAlign w:val="bottom"/>
            <w:hideMark/>
          </w:tcPr>
          <w:p w14:paraId="57A4CC77"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1979.0</w:t>
            </w:r>
          </w:p>
        </w:tc>
      </w:tr>
      <w:tr w:rsidR="003067B3" w:rsidRPr="00DC1D7B" w14:paraId="5A8E59A9" w14:textId="77777777" w:rsidTr="00A9446C">
        <w:trPr>
          <w:trHeight w:val="300"/>
        </w:trPr>
        <w:tc>
          <w:tcPr>
            <w:tcW w:w="0" w:type="auto"/>
            <w:shd w:val="clear" w:color="auto" w:fill="auto"/>
            <w:noWrap/>
            <w:vAlign w:val="bottom"/>
            <w:hideMark/>
          </w:tcPr>
          <w:p w14:paraId="34FDE2E1" w14:textId="77777777" w:rsidR="003067B3" w:rsidRPr="00DC1D7B" w:rsidRDefault="003067B3" w:rsidP="00DC1D7B">
            <w:pPr>
              <w:spacing w:before="0" w:after="0"/>
              <w:rPr>
                <w:rFonts w:eastAsia="Times New Roman"/>
                <w:color w:val="000000"/>
                <w:sz w:val="22"/>
                <w:szCs w:val="22"/>
              </w:rPr>
            </w:pPr>
          </w:p>
        </w:tc>
        <w:tc>
          <w:tcPr>
            <w:tcW w:w="0" w:type="auto"/>
            <w:shd w:val="clear" w:color="auto" w:fill="auto"/>
            <w:noWrap/>
            <w:vAlign w:val="bottom"/>
            <w:hideMark/>
          </w:tcPr>
          <w:p w14:paraId="0AF5B0AD"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(14.80)</w:t>
            </w:r>
          </w:p>
        </w:tc>
        <w:tc>
          <w:tcPr>
            <w:tcW w:w="0" w:type="auto"/>
            <w:shd w:val="clear" w:color="auto" w:fill="auto"/>
            <w:noWrap/>
            <w:vAlign w:val="bottom"/>
            <w:hideMark/>
          </w:tcPr>
          <w:p w14:paraId="0E8795A6"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(50.48)</w:t>
            </w:r>
          </w:p>
        </w:tc>
        <w:tc>
          <w:tcPr>
            <w:tcW w:w="0" w:type="auto"/>
            <w:shd w:val="clear" w:color="auto" w:fill="auto"/>
            <w:noWrap/>
            <w:vAlign w:val="bottom"/>
            <w:hideMark/>
          </w:tcPr>
          <w:p w14:paraId="0284A8A5"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(106.2)</w:t>
            </w:r>
          </w:p>
        </w:tc>
        <w:tc>
          <w:tcPr>
            <w:tcW w:w="0" w:type="auto"/>
            <w:shd w:val="clear" w:color="auto" w:fill="auto"/>
            <w:noWrap/>
            <w:vAlign w:val="bottom"/>
            <w:hideMark/>
          </w:tcPr>
          <w:p w14:paraId="36468348"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(175.4)</w:t>
            </w:r>
          </w:p>
        </w:tc>
        <w:tc>
          <w:tcPr>
            <w:tcW w:w="0" w:type="auto"/>
            <w:shd w:val="clear" w:color="auto" w:fill="auto"/>
            <w:noWrap/>
            <w:vAlign w:val="bottom"/>
            <w:hideMark/>
          </w:tcPr>
          <w:p w14:paraId="4A27239F"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(251.6)</w:t>
            </w:r>
          </w:p>
        </w:tc>
      </w:tr>
      <w:tr w:rsidR="003067B3" w:rsidRPr="00DC1D7B" w14:paraId="60B95557" w14:textId="77777777" w:rsidTr="00A9446C">
        <w:trPr>
          <w:trHeight w:val="300"/>
        </w:trPr>
        <w:tc>
          <w:tcPr>
            <w:tcW w:w="0" w:type="auto"/>
            <w:shd w:val="clear" w:color="auto" w:fill="auto"/>
            <w:noWrap/>
            <w:vAlign w:val="bottom"/>
            <w:hideMark/>
          </w:tcPr>
          <w:p w14:paraId="22128C80" w14:textId="77777777" w:rsidR="003067B3" w:rsidRPr="00DC1D7B" w:rsidRDefault="003067B3" w:rsidP="00DC1D7B">
            <w:pPr>
              <w:spacing w:before="0" w:after="0"/>
              <w:rPr>
                <w:rFonts w:eastAsia="Times New Roman"/>
                <w:color w:val="000000"/>
                <w:sz w:val="22"/>
                <w:szCs w:val="22"/>
              </w:rPr>
            </w:pPr>
            <w:r>
              <w:rPr>
                <w:rFonts w:eastAsia="Times New Roman"/>
                <w:color w:val="000000"/>
                <w:sz w:val="22"/>
                <w:szCs w:val="22"/>
              </w:rPr>
              <w:t>Simulated Taxes over 65</w:t>
            </w:r>
          </w:p>
        </w:tc>
        <w:tc>
          <w:tcPr>
            <w:tcW w:w="0" w:type="auto"/>
            <w:shd w:val="clear" w:color="auto" w:fill="auto"/>
            <w:noWrap/>
            <w:vAlign w:val="bottom"/>
            <w:hideMark/>
          </w:tcPr>
          <w:p w14:paraId="3CA4D7C0"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136.4</w:t>
            </w:r>
          </w:p>
        </w:tc>
        <w:tc>
          <w:tcPr>
            <w:tcW w:w="0" w:type="auto"/>
            <w:shd w:val="clear" w:color="auto" w:fill="auto"/>
            <w:noWrap/>
            <w:vAlign w:val="bottom"/>
            <w:hideMark/>
          </w:tcPr>
          <w:p w14:paraId="1AF5C502"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350.2</w:t>
            </w:r>
          </w:p>
        </w:tc>
        <w:tc>
          <w:tcPr>
            <w:tcW w:w="0" w:type="auto"/>
            <w:shd w:val="clear" w:color="auto" w:fill="auto"/>
            <w:noWrap/>
            <w:vAlign w:val="bottom"/>
            <w:hideMark/>
          </w:tcPr>
          <w:p w14:paraId="6193928D"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803.7</w:t>
            </w:r>
          </w:p>
        </w:tc>
        <w:tc>
          <w:tcPr>
            <w:tcW w:w="0" w:type="auto"/>
            <w:shd w:val="clear" w:color="auto" w:fill="auto"/>
            <w:noWrap/>
            <w:vAlign w:val="bottom"/>
            <w:hideMark/>
          </w:tcPr>
          <w:p w14:paraId="756A073B"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1228.6</w:t>
            </w:r>
          </w:p>
        </w:tc>
        <w:tc>
          <w:tcPr>
            <w:tcW w:w="0" w:type="auto"/>
            <w:shd w:val="clear" w:color="auto" w:fill="auto"/>
            <w:noWrap/>
            <w:vAlign w:val="bottom"/>
            <w:hideMark/>
          </w:tcPr>
          <w:p w14:paraId="7FA464BB"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1560.4</w:t>
            </w:r>
          </w:p>
        </w:tc>
      </w:tr>
      <w:tr w:rsidR="003067B3" w:rsidRPr="00DC1D7B" w14:paraId="62EB348E" w14:textId="77777777" w:rsidTr="00A9446C">
        <w:trPr>
          <w:trHeight w:val="300"/>
        </w:trPr>
        <w:tc>
          <w:tcPr>
            <w:tcW w:w="0" w:type="auto"/>
            <w:shd w:val="clear" w:color="auto" w:fill="auto"/>
            <w:noWrap/>
            <w:vAlign w:val="bottom"/>
            <w:hideMark/>
          </w:tcPr>
          <w:p w14:paraId="410BCABD" w14:textId="77777777" w:rsidR="003067B3" w:rsidRPr="00DC1D7B" w:rsidRDefault="003067B3" w:rsidP="00DC1D7B">
            <w:pPr>
              <w:spacing w:before="0" w:after="0"/>
              <w:rPr>
                <w:rFonts w:eastAsia="Times New Roman"/>
                <w:color w:val="000000"/>
                <w:sz w:val="22"/>
                <w:szCs w:val="22"/>
              </w:rPr>
            </w:pPr>
          </w:p>
        </w:tc>
        <w:tc>
          <w:tcPr>
            <w:tcW w:w="0" w:type="auto"/>
            <w:shd w:val="clear" w:color="auto" w:fill="auto"/>
            <w:noWrap/>
            <w:vAlign w:val="bottom"/>
            <w:hideMark/>
          </w:tcPr>
          <w:p w14:paraId="7C6D9038"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(14.60)</w:t>
            </w:r>
          </w:p>
        </w:tc>
        <w:tc>
          <w:tcPr>
            <w:tcW w:w="0" w:type="auto"/>
            <w:shd w:val="clear" w:color="auto" w:fill="auto"/>
            <w:noWrap/>
            <w:vAlign w:val="bottom"/>
            <w:hideMark/>
          </w:tcPr>
          <w:p w14:paraId="1242B333"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(46.18)</w:t>
            </w:r>
          </w:p>
        </w:tc>
        <w:tc>
          <w:tcPr>
            <w:tcW w:w="0" w:type="auto"/>
            <w:shd w:val="clear" w:color="auto" w:fill="auto"/>
            <w:noWrap/>
            <w:vAlign w:val="bottom"/>
            <w:hideMark/>
          </w:tcPr>
          <w:p w14:paraId="23E172F0"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(153.1)</w:t>
            </w:r>
          </w:p>
        </w:tc>
        <w:tc>
          <w:tcPr>
            <w:tcW w:w="0" w:type="auto"/>
            <w:shd w:val="clear" w:color="auto" w:fill="auto"/>
            <w:noWrap/>
            <w:vAlign w:val="bottom"/>
            <w:hideMark/>
          </w:tcPr>
          <w:p w14:paraId="1B0318A3"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(255.8)</w:t>
            </w:r>
          </w:p>
        </w:tc>
        <w:tc>
          <w:tcPr>
            <w:tcW w:w="0" w:type="auto"/>
            <w:shd w:val="clear" w:color="auto" w:fill="auto"/>
            <w:noWrap/>
            <w:vAlign w:val="bottom"/>
            <w:hideMark/>
          </w:tcPr>
          <w:p w14:paraId="60D4E893" w14:textId="77777777" w:rsidR="003067B3" w:rsidRPr="00DC1D7B" w:rsidRDefault="003067B3" w:rsidP="00F6286A">
            <w:pPr>
              <w:spacing w:before="0" w:after="0"/>
              <w:jc w:val="center"/>
              <w:rPr>
                <w:rFonts w:eastAsia="Times New Roman"/>
                <w:color w:val="000000"/>
                <w:sz w:val="22"/>
                <w:szCs w:val="22"/>
              </w:rPr>
            </w:pPr>
            <w:r w:rsidRPr="00DC1D7B">
              <w:rPr>
                <w:rFonts w:eastAsia="Times New Roman"/>
                <w:color w:val="000000"/>
                <w:sz w:val="22"/>
                <w:szCs w:val="22"/>
              </w:rPr>
              <w:t>(469.2)</w:t>
            </w:r>
          </w:p>
        </w:tc>
      </w:tr>
      <w:tr w:rsidR="003067B3" w:rsidRPr="00DC1D7B" w14:paraId="5C3690C0" w14:textId="77777777" w:rsidTr="003067B3">
        <w:trPr>
          <w:trHeight w:val="300"/>
        </w:trPr>
        <w:tc>
          <w:tcPr>
            <w:tcW w:w="0" w:type="auto"/>
            <w:shd w:val="clear" w:color="auto" w:fill="auto"/>
            <w:noWrap/>
            <w:vAlign w:val="bottom"/>
            <w:hideMark/>
          </w:tcPr>
          <w:p w14:paraId="744C0DAA" w14:textId="77777777" w:rsidR="003067B3" w:rsidRPr="00DC1D7B" w:rsidRDefault="003067B3" w:rsidP="003067B3">
            <w:pPr>
              <w:spacing w:before="0" w:after="0"/>
              <w:rPr>
                <w:rFonts w:eastAsia="Times New Roman"/>
                <w:color w:val="000000"/>
                <w:sz w:val="22"/>
                <w:szCs w:val="22"/>
              </w:rPr>
            </w:pPr>
            <w:r>
              <w:rPr>
                <w:rFonts w:eastAsia="Times New Roman"/>
                <w:color w:val="000000"/>
                <w:sz w:val="22"/>
                <w:szCs w:val="22"/>
              </w:rPr>
              <w:t>Simulated Tax Ratio</w:t>
            </w:r>
          </w:p>
        </w:tc>
        <w:tc>
          <w:tcPr>
            <w:tcW w:w="0" w:type="auto"/>
            <w:shd w:val="clear" w:color="auto" w:fill="auto"/>
            <w:noWrap/>
            <w:vAlign w:val="center"/>
            <w:hideMark/>
          </w:tcPr>
          <w:p w14:paraId="24B52A0C"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-0.999</w:t>
            </w:r>
          </w:p>
        </w:tc>
        <w:tc>
          <w:tcPr>
            <w:tcW w:w="0" w:type="auto"/>
            <w:shd w:val="clear" w:color="auto" w:fill="auto"/>
            <w:noWrap/>
            <w:vAlign w:val="center"/>
            <w:hideMark/>
          </w:tcPr>
          <w:p w14:paraId="551AC86E"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-0.831</w:t>
            </w:r>
          </w:p>
        </w:tc>
        <w:tc>
          <w:tcPr>
            <w:tcW w:w="0" w:type="auto"/>
            <w:shd w:val="clear" w:color="auto" w:fill="auto"/>
            <w:noWrap/>
            <w:vAlign w:val="center"/>
            <w:hideMark/>
          </w:tcPr>
          <w:p w14:paraId="7F87F508"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-0.887</w:t>
            </w:r>
          </w:p>
        </w:tc>
        <w:tc>
          <w:tcPr>
            <w:tcW w:w="0" w:type="auto"/>
            <w:shd w:val="clear" w:color="auto" w:fill="auto"/>
            <w:noWrap/>
            <w:vAlign w:val="center"/>
            <w:hideMark/>
          </w:tcPr>
          <w:p w14:paraId="1DD02247"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-0.821</w:t>
            </w:r>
          </w:p>
        </w:tc>
        <w:tc>
          <w:tcPr>
            <w:tcW w:w="0" w:type="auto"/>
            <w:shd w:val="clear" w:color="auto" w:fill="auto"/>
            <w:noWrap/>
            <w:vAlign w:val="center"/>
            <w:hideMark/>
          </w:tcPr>
          <w:p w14:paraId="54BFC6B2"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-0.784</w:t>
            </w:r>
          </w:p>
        </w:tc>
      </w:tr>
      <w:tr w:rsidR="003067B3" w:rsidRPr="00DC1D7B" w14:paraId="2BF412DF" w14:textId="77777777" w:rsidTr="003067B3">
        <w:trPr>
          <w:trHeight w:val="300"/>
        </w:trPr>
        <w:tc>
          <w:tcPr>
            <w:tcW w:w="0" w:type="auto"/>
            <w:tcBorders>
              <w:bottom w:val="single" w:sz="4" w:space="0" w:color="auto"/>
            </w:tcBorders>
            <w:shd w:val="clear" w:color="auto" w:fill="auto"/>
            <w:noWrap/>
            <w:vAlign w:val="bottom"/>
            <w:hideMark/>
          </w:tcPr>
          <w:p w14:paraId="345BF9C8" w14:textId="77777777" w:rsidR="003067B3" w:rsidRPr="00DC1D7B" w:rsidRDefault="003067B3" w:rsidP="003067B3">
            <w:pPr>
              <w:spacing w:before="0" w:after="0"/>
              <w:rPr>
                <w:rFonts w:eastAsia="Times New Roman"/>
                <w:color w:val="000000"/>
                <w:sz w:val="22"/>
                <w:szCs w:val="22"/>
              </w:rPr>
            </w:pPr>
          </w:p>
        </w:tc>
        <w:tc>
          <w:tcPr>
            <w:tcW w:w="0" w:type="auto"/>
            <w:tcBorders>
              <w:bottom w:val="single" w:sz="4" w:space="0" w:color="auto"/>
            </w:tcBorders>
            <w:shd w:val="clear" w:color="auto" w:fill="auto"/>
            <w:noWrap/>
            <w:vAlign w:val="center"/>
            <w:hideMark/>
          </w:tcPr>
          <w:p w14:paraId="478A33F0"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(0.0149)</w:t>
            </w:r>
          </w:p>
        </w:tc>
        <w:tc>
          <w:tcPr>
            <w:tcW w:w="0" w:type="auto"/>
            <w:tcBorders>
              <w:bottom w:val="single" w:sz="4" w:space="0" w:color="auto"/>
            </w:tcBorders>
            <w:shd w:val="clear" w:color="auto" w:fill="auto"/>
            <w:noWrap/>
            <w:vAlign w:val="center"/>
            <w:hideMark/>
          </w:tcPr>
          <w:p w14:paraId="1BF76691"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(0.0605)</w:t>
            </w:r>
          </w:p>
        </w:tc>
        <w:tc>
          <w:tcPr>
            <w:tcW w:w="0" w:type="auto"/>
            <w:tcBorders>
              <w:bottom w:val="single" w:sz="4" w:space="0" w:color="auto"/>
            </w:tcBorders>
            <w:shd w:val="clear" w:color="auto" w:fill="auto"/>
            <w:noWrap/>
            <w:vAlign w:val="center"/>
            <w:hideMark/>
          </w:tcPr>
          <w:p w14:paraId="7D267D1F"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(0.118)</w:t>
            </w:r>
          </w:p>
        </w:tc>
        <w:tc>
          <w:tcPr>
            <w:tcW w:w="0" w:type="auto"/>
            <w:tcBorders>
              <w:bottom w:val="single" w:sz="4" w:space="0" w:color="auto"/>
            </w:tcBorders>
            <w:shd w:val="clear" w:color="auto" w:fill="auto"/>
            <w:noWrap/>
            <w:vAlign w:val="center"/>
            <w:hideMark/>
          </w:tcPr>
          <w:p w14:paraId="489B1429"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(0.124)</w:t>
            </w:r>
          </w:p>
        </w:tc>
        <w:tc>
          <w:tcPr>
            <w:tcW w:w="0" w:type="auto"/>
            <w:tcBorders>
              <w:bottom w:val="single" w:sz="4" w:space="0" w:color="auto"/>
            </w:tcBorders>
            <w:shd w:val="clear" w:color="auto" w:fill="auto"/>
            <w:noWrap/>
            <w:vAlign w:val="center"/>
            <w:hideMark/>
          </w:tcPr>
          <w:p w14:paraId="00613327" w14:textId="77777777" w:rsidR="003067B3" w:rsidRPr="003067B3" w:rsidRDefault="003067B3" w:rsidP="003067B3">
            <w:pPr>
              <w:spacing w:before="0" w:after="0"/>
              <w:jc w:val="center"/>
              <w:rPr>
                <w:rFonts w:eastAsia="Times New Roman"/>
                <w:color w:val="000000"/>
                <w:sz w:val="22"/>
                <w:szCs w:val="22"/>
              </w:rPr>
            </w:pPr>
            <w:r w:rsidRPr="003067B3">
              <w:rPr>
                <w:sz w:val="22"/>
                <w:szCs w:val="22"/>
              </w:rPr>
              <w:t>(0.197)</w:t>
            </w:r>
          </w:p>
        </w:tc>
      </w:tr>
      <w:tr w:rsidR="002114F4" w:rsidRPr="00DC1D7B" w14:paraId="17E102C6" w14:textId="77777777" w:rsidTr="003067B3">
        <w:trPr>
          <w:trHeight w:val="300"/>
        </w:trPr>
        <w:tc>
          <w:tcPr>
            <w:tcW w:w="0" w:type="auto"/>
            <w:tcBorders>
              <w:top w:val="single" w:sz="4" w:space="0" w:color="auto"/>
              <w:bottom w:val="single" w:sz="4" w:space="0" w:color="auto"/>
            </w:tcBorders>
            <w:shd w:val="clear" w:color="auto" w:fill="auto"/>
            <w:noWrap/>
          </w:tcPr>
          <w:p w14:paraId="5226023E" w14:textId="77777777" w:rsidR="002114F4" w:rsidRPr="00DC1D7B" w:rsidRDefault="002114F4" w:rsidP="00DC1D7B">
            <w:pPr>
              <w:spacing w:before="0" w:after="0"/>
            </w:pPr>
          </w:p>
        </w:tc>
        <w:tc>
          <w:tcPr>
            <w:tcW w:w="0" w:type="auto"/>
            <w:gridSpan w:val="5"/>
            <w:tcBorders>
              <w:top w:val="single" w:sz="4" w:space="0" w:color="auto"/>
              <w:bottom w:val="single" w:sz="4" w:space="0" w:color="auto"/>
            </w:tcBorders>
            <w:shd w:val="clear" w:color="auto" w:fill="auto"/>
            <w:noWrap/>
            <w:vAlign w:val="bottom"/>
          </w:tcPr>
          <w:p w14:paraId="64A137A8" w14:textId="1DE9DB99" w:rsidR="002114F4" w:rsidRPr="00DC1D7B" w:rsidRDefault="002114F4" w:rsidP="003067B3">
            <w:pPr>
              <w:spacing w:before="0" w:after="0"/>
              <w:jc w:val="center"/>
              <w:rPr>
                <w:rFonts w:eastAsia="Times New Roman"/>
                <w:color w:val="000000"/>
                <w:sz w:val="22"/>
                <w:szCs w:val="22"/>
              </w:rPr>
            </w:pPr>
            <w:r>
              <w:rPr>
                <w:rFonts w:eastAsia="Times New Roman"/>
                <w:color w:val="000000"/>
                <w:sz w:val="22"/>
                <w:szCs w:val="22"/>
              </w:rPr>
              <w:t xml:space="preserve">Panel </w:t>
            </w:r>
            <w:r w:rsidR="003067B3">
              <w:rPr>
                <w:rFonts w:eastAsia="Times New Roman"/>
                <w:color w:val="000000"/>
                <w:sz w:val="22"/>
                <w:szCs w:val="22"/>
              </w:rPr>
              <w:t>B</w:t>
            </w:r>
          </w:p>
        </w:tc>
      </w:tr>
      <w:tr w:rsidR="008925B8" w:rsidRPr="00DC1D7B" w14:paraId="5C830096" w14:textId="77777777" w:rsidTr="003067B3">
        <w:trPr>
          <w:trHeight w:val="300"/>
        </w:trPr>
        <w:tc>
          <w:tcPr>
            <w:tcW w:w="0" w:type="auto"/>
            <w:tcBorders>
              <w:top w:val="single" w:sz="4" w:space="0" w:color="auto"/>
            </w:tcBorders>
            <w:shd w:val="clear" w:color="auto" w:fill="auto"/>
            <w:noWrap/>
          </w:tcPr>
          <w:p w14:paraId="5F7BAA02" w14:textId="682A42EE" w:rsidR="008925B8" w:rsidRPr="00DC1D7B" w:rsidRDefault="008925B8" w:rsidP="00DC1D7B">
            <w:pPr>
              <w:spacing w:before="0" w:after="0"/>
              <w:rPr>
                <w:rFonts w:eastAsia="Times New Roman"/>
                <w:color w:val="000000"/>
                <w:sz w:val="22"/>
                <w:szCs w:val="22"/>
              </w:rPr>
            </w:pPr>
            <w:r w:rsidRPr="00DC1D7B">
              <w:t>Total population</w:t>
            </w:r>
          </w:p>
        </w:tc>
        <w:tc>
          <w:tcPr>
            <w:tcW w:w="0" w:type="auto"/>
            <w:tcBorders>
              <w:top w:val="single" w:sz="4" w:space="0" w:color="auto"/>
            </w:tcBorders>
            <w:shd w:val="clear" w:color="auto" w:fill="auto"/>
            <w:noWrap/>
            <w:vAlign w:val="bottom"/>
            <w:hideMark/>
          </w:tcPr>
          <w:p w14:paraId="2635F90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27988.6</w:t>
            </w:r>
          </w:p>
        </w:tc>
        <w:tc>
          <w:tcPr>
            <w:tcW w:w="0" w:type="auto"/>
            <w:tcBorders>
              <w:top w:val="single" w:sz="4" w:space="0" w:color="auto"/>
            </w:tcBorders>
            <w:shd w:val="clear" w:color="auto" w:fill="auto"/>
            <w:noWrap/>
            <w:vAlign w:val="bottom"/>
            <w:hideMark/>
          </w:tcPr>
          <w:p w14:paraId="7FA037E4"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34359.2</w:t>
            </w:r>
          </w:p>
        </w:tc>
        <w:tc>
          <w:tcPr>
            <w:tcW w:w="0" w:type="auto"/>
            <w:tcBorders>
              <w:top w:val="single" w:sz="4" w:space="0" w:color="auto"/>
            </w:tcBorders>
            <w:shd w:val="clear" w:color="auto" w:fill="auto"/>
            <w:noWrap/>
            <w:vAlign w:val="bottom"/>
            <w:hideMark/>
          </w:tcPr>
          <w:p w14:paraId="408D33AB"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40743.5</w:t>
            </w:r>
          </w:p>
        </w:tc>
        <w:tc>
          <w:tcPr>
            <w:tcW w:w="0" w:type="auto"/>
            <w:tcBorders>
              <w:top w:val="single" w:sz="4" w:space="0" w:color="auto"/>
            </w:tcBorders>
            <w:shd w:val="clear" w:color="auto" w:fill="auto"/>
            <w:noWrap/>
            <w:vAlign w:val="bottom"/>
            <w:hideMark/>
          </w:tcPr>
          <w:p w14:paraId="0403FB1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51487.1</w:t>
            </w:r>
          </w:p>
        </w:tc>
        <w:tc>
          <w:tcPr>
            <w:tcW w:w="0" w:type="auto"/>
            <w:tcBorders>
              <w:top w:val="single" w:sz="4" w:space="0" w:color="auto"/>
            </w:tcBorders>
            <w:shd w:val="clear" w:color="auto" w:fill="auto"/>
            <w:noWrap/>
            <w:vAlign w:val="bottom"/>
            <w:hideMark/>
          </w:tcPr>
          <w:p w14:paraId="27C5792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73903.2</w:t>
            </w:r>
          </w:p>
        </w:tc>
      </w:tr>
      <w:tr w:rsidR="008925B8" w:rsidRPr="00DC1D7B" w14:paraId="71E1FC0C" w14:textId="77777777" w:rsidTr="00A9446C">
        <w:trPr>
          <w:trHeight w:val="300"/>
        </w:trPr>
        <w:tc>
          <w:tcPr>
            <w:tcW w:w="0" w:type="auto"/>
            <w:shd w:val="clear" w:color="auto" w:fill="auto"/>
            <w:noWrap/>
          </w:tcPr>
          <w:p w14:paraId="28BA72C1" w14:textId="65B5EF2C"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13D11E0C"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(63333.0)</w:t>
            </w:r>
          </w:p>
        </w:tc>
        <w:tc>
          <w:tcPr>
            <w:tcW w:w="0" w:type="auto"/>
            <w:shd w:val="clear" w:color="auto" w:fill="auto"/>
            <w:noWrap/>
            <w:vAlign w:val="bottom"/>
            <w:hideMark/>
          </w:tcPr>
          <w:p w14:paraId="587A7438"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(69744.4)</w:t>
            </w:r>
          </w:p>
        </w:tc>
        <w:tc>
          <w:tcPr>
            <w:tcW w:w="0" w:type="auto"/>
            <w:shd w:val="clear" w:color="auto" w:fill="auto"/>
            <w:noWrap/>
            <w:vAlign w:val="bottom"/>
            <w:hideMark/>
          </w:tcPr>
          <w:p w14:paraId="6CC97B95"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(83663.8)</w:t>
            </w:r>
          </w:p>
        </w:tc>
        <w:tc>
          <w:tcPr>
            <w:tcW w:w="0" w:type="auto"/>
            <w:shd w:val="clear" w:color="auto" w:fill="auto"/>
            <w:noWrap/>
            <w:vAlign w:val="bottom"/>
            <w:hideMark/>
          </w:tcPr>
          <w:p w14:paraId="0896EAE9"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(108931.2)</w:t>
            </w:r>
          </w:p>
        </w:tc>
        <w:tc>
          <w:tcPr>
            <w:tcW w:w="0" w:type="auto"/>
            <w:shd w:val="clear" w:color="auto" w:fill="auto"/>
            <w:noWrap/>
            <w:vAlign w:val="bottom"/>
            <w:hideMark/>
          </w:tcPr>
          <w:p w14:paraId="20BE8FCA"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(139963.8)</w:t>
            </w:r>
          </w:p>
        </w:tc>
      </w:tr>
      <w:tr w:rsidR="008925B8" w:rsidRPr="00DC1D7B" w14:paraId="0CAAF965" w14:textId="77777777" w:rsidTr="00A9446C">
        <w:trPr>
          <w:trHeight w:val="300"/>
        </w:trPr>
        <w:tc>
          <w:tcPr>
            <w:tcW w:w="0" w:type="auto"/>
            <w:shd w:val="clear" w:color="auto" w:fill="auto"/>
            <w:noWrap/>
          </w:tcPr>
          <w:p w14:paraId="058F4802" w14:textId="1D13A6CE" w:rsidR="008925B8" w:rsidRPr="00DC1D7B" w:rsidRDefault="008925B8" w:rsidP="00DC1D7B">
            <w:pPr>
              <w:spacing w:before="0" w:after="0"/>
              <w:rPr>
                <w:rFonts w:eastAsia="Times New Roman"/>
                <w:color w:val="000000"/>
                <w:sz w:val="22"/>
                <w:szCs w:val="22"/>
              </w:rPr>
            </w:pPr>
            <w:r w:rsidRPr="00DC1D7B">
              <w:t>Share of Pop</w:t>
            </w:r>
            <w:r w:rsidR="00C10FA6">
              <w:t xml:space="preserve">.  </w:t>
            </w:r>
            <w:r w:rsidRPr="00DC1D7B">
              <w:t>65+</w:t>
            </w:r>
          </w:p>
        </w:tc>
        <w:tc>
          <w:tcPr>
            <w:tcW w:w="0" w:type="auto"/>
            <w:shd w:val="clear" w:color="auto" w:fill="auto"/>
            <w:noWrap/>
            <w:vAlign w:val="bottom"/>
            <w:hideMark/>
          </w:tcPr>
          <w:p w14:paraId="64CA1AB7"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0.0967</w:t>
            </w:r>
          </w:p>
        </w:tc>
        <w:tc>
          <w:tcPr>
            <w:tcW w:w="0" w:type="auto"/>
            <w:shd w:val="clear" w:color="auto" w:fill="auto"/>
            <w:noWrap/>
            <w:vAlign w:val="bottom"/>
            <w:hideMark/>
          </w:tcPr>
          <w:p w14:paraId="386FBBD8"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0.114</w:t>
            </w:r>
          </w:p>
        </w:tc>
        <w:tc>
          <w:tcPr>
            <w:tcW w:w="0" w:type="auto"/>
            <w:shd w:val="clear" w:color="auto" w:fill="auto"/>
            <w:noWrap/>
            <w:vAlign w:val="bottom"/>
            <w:hideMark/>
          </w:tcPr>
          <w:p w14:paraId="31860D62"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0.125</w:t>
            </w:r>
          </w:p>
        </w:tc>
        <w:tc>
          <w:tcPr>
            <w:tcW w:w="0" w:type="auto"/>
            <w:shd w:val="clear" w:color="auto" w:fill="auto"/>
            <w:noWrap/>
            <w:vAlign w:val="bottom"/>
            <w:hideMark/>
          </w:tcPr>
          <w:p w14:paraId="7EBC401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0.120</w:t>
            </w:r>
          </w:p>
        </w:tc>
        <w:tc>
          <w:tcPr>
            <w:tcW w:w="0" w:type="auto"/>
            <w:shd w:val="clear" w:color="auto" w:fill="auto"/>
            <w:noWrap/>
            <w:vAlign w:val="bottom"/>
            <w:hideMark/>
          </w:tcPr>
          <w:p w14:paraId="16F49EBC"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0.130</w:t>
            </w:r>
          </w:p>
        </w:tc>
      </w:tr>
      <w:tr w:rsidR="008925B8" w:rsidRPr="00DC1D7B" w14:paraId="2310F453" w14:textId="77777777" w:rsidTr="00A9446C">
        <w:trPr>
          <w:trHeight w:val="300"/>
        </w:trPr>
        <w:tc>
          <w:tcPr>
            <w:tcW w:w="0" w:type="auto"/>
            <w:shd w:val="clear" w:color="auto" w:fill="auto"/>
            <w:noWrap/>
          </w:tcPr>
          <w:p w14:paraId="162E5968" w14:textId="14EECA56"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0B28A9B9"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(0.0227)</w:t>
            </w:r>
          </w:p>
        </w:tc>
        <w:tc>
          <w:tcPr>
            <w:tcW w:w="0" w:type="auto"/>
            <w:shd w:val="clear" w:color="auto" w:fill="auto"/>
            <w:noWrap/>
            <w:vAlign w:val="bottom"/>
            <w:hideMark/>
          </w:tcPr>
          <w:p w14:paraId="3203E7D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(0.0281)</w:t>
            </w:r>
          </w:p>
        </w:tc>
        <w:tc>
          <w:tcPr>
            <w:tcW w:w="0" w:type="auto"/>
            <w:shd w:val="clear" w:color="auto" w:fill="auto"/>
            <w:noWrap/>
            <w:vAlign w:val="bottom"/>
            <w:hideMark/>
          </w:tcPr>
          <w:p w14:paraId="5AE2D1F7"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(0.0331)</w:t>
            </w:r>
          </w:p>
        </w:tc>
        <w:tc>
          <w:tcPr>
            <w:tcW w:w="0" w:type="auto"/>
            <w:shd w:val="clear" w:color="auto" w:fill="auto"/>
            <w:noWrap/>
            <w:vAlign w:val="bottom"/>
            <w:hideMark/>
          </w:tcPr>
          <w:p w14:paraId="4A9DD1EA"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(0.0336)</w:t>
            </w:r>
          </w:p>
        </w:tc>
        <w:tc>
          <w:tcPr>
            <w:tcW w:w="0" w:type="auto"/>
            <w:shd w:val="clear" w:color="auto" w:fill="auto"/>
            <w:noWrap/>
            <w:vAlign w:val="bottom"/>
            <w:hideMark/>
          </w:tcPr>
          <w:p w14:paraId="238AC80A"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(0.0303)</w:t>
            </w:r>
          </w:p>
        </w:tc>
      </w:tr>
      <w:tr w:rsidR="008925B8" w:rsidRPr="00DC1D7B" w14:paraId="33FE718C" w14:textId="77777777" w:rsidTr="00A9446C">
        <w:trPr>
          <w:trHeight w:val="300"/>
        </w:trPr>
        <w:tc>
          <w:tcPr>
            <w:tcW w:w="0" w:type="auto"/>
            <w:shd w:val="clear" w:color="auto" w:fill="auto"/>
            <w:noWrap/>
          </w:tcPr>
          <w:p w14:paraId="5C79E00E" w14:textId="6CF6A70E" w:rsidR="008925B8" w:rsidRPr="00DC1D7B" w:rsidRDefault="008925B8" w:rsidP="00DC1D7B">
            <w:pPr>
              <w:spacing w:before="0" w:after="0"/>
              <w:rPr>
                <w:rFonts w:eastAsia="Times New Roman"/>
                <w:color w:val="000000"/>
                <w:sz w:val="22"/>
                <w:szCs w:val="22"/>
              </w:rPr>
            </w:pPr>
            <w:r w:rsidRPr="00DC1D7B">
              <w:t>Owner occupied units</w:t>
            </w:r>
          </w:p>
        </w:tc>
        <w:tc>
          <w:tcPr>
            <w:tcW w:w="0" w:type="auto"/>
            <w:shd w:val="clear" w:color="auto" w:fill="auto"/>
            <w:noWrap/>
            <w:vAlign w:val="bottom"/>
            <w:hideMark/>
          </w:tcPr>
          <w:p w14:paraId="4A955300"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4529</w:t>
            </w:r>
          </w:p>
        </w:tc>
        <w:tc>
          <w:tcPr>
            <w:tcW w:w="0" w:type="auto"/>
            <w:shd w:val="clear" w:color="auto" w:fill="auto"/>
            <w:noWrap/>
            <w:vAlign w:val="bottom"/>
            <w:hideMark/>
          </w:tcPr>
          <w:p w14:paraId="5D9DFFA4"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7650.5</w:t>
            </w:r>
          </w:p>
        </w:tc>
        <w:tc>
          <w:tcPr>
            <w:tcW w:w="0" w:type="auto"/>
            <w:shd w:val="clear" w:color="auto" w:fill="auto"/>
            <w:noWrap/>
            <w:vAlign w:val="bottom"/>
            <w:hideMark/>
          </w:tcPr>
          <w:p w14:paraId="11650BDA"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9665.2</w:t>
            </w:r>
          </w:p>
        </w:tc>
        <w:tc>
          <w:tcPr>
            <w:tcW w:w="0" w:type="auto"/>
            <w:shd w:val="clear" w:color="auto" w:fill="auto"/>
            <w:noWrap/>
            <w:vAlign w:val="bottom"/>
            <w:hideMark/>
          </w:tcPr>
          <w:p w14:paraId="6C84526E"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10180.6</w:t>
            </w:r>
          </w:p>
        </w:tc>
        <w:tc>
          <w:tcPr>
            <w:tcW w:w="0" w:type="auto"/>
            <w:shd w:val="clear" w:color="auto" w:fill="auto"/>
            <w:noWrap/>
            <w:vAlign w:val="bottom"/>
            <w:hideMark/>
          </w:tcPr>
          <w:p w14:paraId="2B5B348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17591.9</w:t>
            </w:r>
          </w:p>
        </w:tc>
      </w:tr>
      <w:tr w:rsidR="008925B8" w:rsidRPr="00DC1D7B" w14:paraId="07220F47" w14:textId="77777777" w:rsidTr="00A9446C">
        <w:trPr>
          <w:trHeight w:val="300"/>
        </w:trPr>
        <w:tc>
          <w:tcPr>
            <w:tcW w:w="0" w:type="auto"/>
            <w:shd w:val="clear" w:color="auto" w:fill="auto"/>
            <w:noWrap/>
          </w:tcPr>
          <w:p w14:paraId="4356CAC5" w14:textId="41DB8961"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73ADC945"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(9543.2)</w:t>
            </w:r>
          </w:p>
        </w:tc>
        <w:tc>
          <w:tcPr>
            <w:tcW w:w="0" w:type="auto"/>
            <w:shd w:val="clear" w:color="auto" w:fill="auto"/>
            <w:noWrap/>
            <w:vAlign w:val="bottom"/>
            <w:hideMark/>
          </w:tcPr>
          <w:p w14:paraId="6D0F56D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(14040.9)</w:t>
            </w:r>
          </w:p>
        </w:tc>
        <w:tc>
          <w:tcPr>
            <w:tcW w:w="0" w:type="auto"/>
            <w:shd w:val="clear" w:color="auto" w:fill="auto"/>
            <w:noWrap/>
            <w:vAlign w:val="bottom"/>
            <w:hideMark/>
          </w:tcPr>
          <w:p w14:paraId="00849E2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(18268.0)</w:t>
            </w:r>
          </w:p>
        </w:tc>
        <w:tc>
          <w:tcPr>
            <w:tcW w:w="0" w:type="auto"/>
            <w:shd w:val="clear" w:color="auto" w:fill="auto"/>
            <w:noWrap/>
            <w:vAlign w:val="bottom"/>
            <w:hideMark/>
          </w:tcPr>
          <w:p w14:paraId="7AB307D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(20897.2)</w:t>
            </w:r>
          </w:p>
        </w:tc>
        <w:tc>
          <w:tcPr>
            <w:tcW w:w="0" w:type="auto"/>
            <w:shd w:val="clear" w:color="auto" w:fill="auto"/>
            <w:noWrap/>
            <w:vAlign w:val="bottom"/>
            <w:hideMark/>
          </w:tcPr>
          <w:p w14:paraId="4141AC1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(31989.4)</w:t>
            </w:r>
          </w:p>
        </w:tc>
      </w:tr>
      <w:tr w:rsidR="008925B8" w:rsidRPr="00DC1D7B" w14:paraId="4E300C6D" w14:textId="77777777" w:rsidTr="00A9446C">
        <w:trPr>
          <w:trHeight w:val="300"/>
        </w:trPr>
        <w:tc>
          <w:tcPr>
            <w:tcW w:w="0" w:type="auto"/>
            <w:shd w:val="clear" w:color="auto" w:fill="auto"/>
            <w:noWrap/>
          </w:tcPr>
          <w:p w14:paraId="40B0DD4D" w14:textId="6F1C2FF6" w:rsidR="008925B8" w:rsidRPr="00DC1D7B" w:rsidRDefault="008925B8" w:rsidP="00DC1D7B">
            <w:pPr>
              <w:spacing w:before="0" w:after="0"/>
              <w:rPr>
                <w:rFonts w:eastAsia="Times New Roman"/>
                <w:color w:val="000000"/>
                <w:sz w:val="22"/>
                <w:szCs w:val="22"/>
              </w:rPr>
            </w:pPr>
            <w:r w:rsidRPr="00DC1D7B">
              <w:t>Owner occupied by 65+</w:t>
            </w:r>
          </w:p>
        </w:tc>
        <w:tc>
          <w:tcPr>
            <w:tcW w:w="0" w:type="auto"/>
            <w:shd w:val="clear" w:color="auto" w:fill="auto"/>
            <w:noWrap/>
            <w:vAlign w:val="bottom"/>
            <w:hideMark/>
          </w:tcPr>
          <w:p w14:paraId="5C26A9E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608.3</w:t>
            </w:r>
          </w:p>
        </w:tc>
        <w:tc>
          <w:tcPr>
            <w:tcW w:w="0" w:type="auto"/>
            <w:shd w:val="clear" w:color="auto" w:fill="auto"/>
            <w:noWrap/>
            <w:vAlign w:val="bottom"/>
            <w:hideMark/>
          </w:tcPr>
          <w:p w14:paraId="52505E47"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1543.6</w:t>
            </w:r>
          </w:p>
        </w:tc>
        <w:tc>
          <w:tcPr>
            <w:tcW w:w="0" w:type="auto"/>
            <w:shd w:val="clear" w:color="auto" w:fill="auto"/>
            <w:noWrap/>
            <w:vAlign w:val="bottom"/>
            <w:hideMark/>
          </w:tcPr>
          <w:p w14:paraId="703DAA7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2035.9</w:t>
            </w:r>
          </w:p>
        </w:tc>
        <w:tc>
          <w:tcPr>
            <w:tcW w:w="0" w:type="auto"/>
            <w:shd w:val="clear" w:color="auto" w:fill="auto"/>
            <w:noWrap/>
            <w:vAlign w:val="bottom"/>
            <w:hideMark/>
          </w:tcPr>
          <w:p w14:paraId="08C0E3C2"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2582.3</w:t>
            </w:r>
          </w:p>
        </w:tc>
        <w:tc>
          <w:tcPr>
            <w:tcW w:w="0" w:type="auto"/>
            <w:shd w:val="clear" w:color="auto" w:fill="auto"/>
            <w:noWrap/>
            <w:vAlign w:val="bottom"/>
            <w:hideMark/>
          </w:tcPr>
          <w:p w14:paraId="6AEE453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3914.5</w:t>
            </w:r>
          </w:p>
        </w:tc>
      </w:tr>
      <w:tr w:rsidR="008925B8" w:rsidRPr="00DC1D7B" w14:paraId="51290576" w14:textId="77777777" w:rsidTr="00A9446C">
        <w:trPr>
          <w:trHeight w:val="300"/>
        </w:trPr>
        <w:tc>
          <w:tcPr>
            <w:tcW w:w="0" w:type="auto"/>
            <w:shd w:val="clear" w:color="auto" w:fill="auto"/>
            <w:noWrap/>
          </w:tcPr>
          <w:p w14:paraId="245982AC" w14:textId="41F7BF24"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18F6C87E"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(1120.3)</w:t>
            </w:r>
          </w:p>
        </w:tc>
        <w:tc>
          <w:tcPr>
            <w:tcW w:w="0" w:type="auto"/>
            <w:shd w:val="clear" w:color="auto" w:fill="auto"/>
            <w:noWrap/>
            <w:vAlign w:val="bottom"/>
            <w:hideMark/>
          </w:tcPr>
          <w:p w14:paraId="4E76529A"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(2509.9)</w:t>
            </w:r>
          </w:p>
        </w:tc>
        <w:tc>
          <w:tcPr>
            <w:tcW w:w="0" w:type="auto"/>
            <w:shd w:val="clear" w:color="auto" w:fill="auto"/>
            <w:noWrap/>
            <w:vAlign w:val="bottom"/>
            <w:hideMark/>
          </w:tcPr>
          <w:p w14:paraId="2C4BCD1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(3301.9)</w:t>
            </w:r>
          </w:p>
        </w:tc>
        <w:tc>
          <w:tcPr>
            <w:tcW w:w="0" w:type="auto"/>
            <w:shd w:val="clear" w:color="auto" w:fill="auto"/>
            <w:noWrap/>
            <w:vAlign w:val="bottom"/>
            <w:hideMark/>
          </w:tcPr>
          <w:p w14:paraId="7306C6F6"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(4136.8)</w:t>
            </w:r>
          </w:p>
        </w:tc>
        <w:tc>
          <w:tcPr>
            <w:tcW w:w="0" w:type="auto"/>
            <w:shd w:val="clear" w:color="auto" w:fill="auto"/>
            <w:noWrap/>
            <w:vAlign w:val="bottom"/>
            <w:hideMark/>
          </w:tcPr>
          <w:p w14:paraId="660BB7A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(5694.6)</w:t>
            </w:r>
          </w:p>
        </w:tc>
      </w:tr>
      <w:tr w:rsidR="008925B8" w:rsidRPr="00DC1D7B" w14:paraId="0EE6B0A4" w14:textId="77777777" w:rsidTr="00A9446C">
        <w:trPr>
          <w:trHeight w:val="300"/>
        </w:trPr>
        <w:tc>
          <w:tcPr>
            <w:tcW w:w="0" w:type="auto"/>
            <w:shd w:val="clear" w:color="auto" w:fill="auto"/>
            <w:noWrap/>
          </w:tcPr>
          <w:p w14:paraId="2DC35968" w14:textId="1840CF9A" w:rsidR="008925B8" w:rsidRPr="00DC1D7B" w:rsidRDefault="008925B8" w:rsidP="00DC1D7B">
            <w:pPr>
              <w:spacing w:before="0" w:after="0"/>
              <w:rPr>
                <w:rFonts w:eastAsia="Times New Roman"/>
                <w:color w:val="000000"/>
                <w:sz w:val="22"/>
                <w:szCs w:val="22"/>
              </w:rPr>
            </w:pPr>
            <w:r w:rsidRPr="00DC1D7B">
              <w:t>Renter occupied units</w:t>
            </w:r>
          </w:p>
        </w:tc>
        <w:tc>
          <w:tcPr>
            <w:tcW w:w="0" w:type="auto"/>
            <w:shd w:val="clear" w:color="auto" w:fill="auto"/>
            <w:noWrap/>
            <w:vAlign w:val="bottom"/>
            <w:hideMark/>
          </w:tcPr>
          <w:p w14:paraId="3A49C6F2"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2435.8</w:t>
            </w:r>
          </w:p>
        </w:tc>
        <w:tc>
          <w:tcPr>
            <w:tcW w:w="0" w:type="auto"/>
            <w:shd w:val="clear" w:color="auto" w:fill="auto"/>
            <w:noWrap/>
            <w:vAlign w:val="bottom"/>
            <w:hideMark/>
          </w:tcPr>
          <w:p w14:paraId="3B61F56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4120.9</w:t>
            </w:r>
          </w:p>
        </w:tc>
        <w:tc>
          <w:tcPr>
            <w:tcW w:w="0" w:type="auto"/>
            <w:shd w:val="clear" w:color="auto" w:fill="auto"/>
            <w:noWrap/>
            <w:vAlign w:val="bottom"/>
            <w:hideMark/>
          </w:tcPr>
          <w:p w14:paraId="3811235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5219.2</w:t>
            </w:r>
          </w:p>
        </w:tc>
        <w:tc>
          <w:tcPr>
            <w:tcW w:w="0" w:type="auto"/>
            <w:shd w:val="clear" w:color="auto" w:fill="auto"/>
            <w:noWrap/>
            <w:vAlign w:val="bottom"/>
            <w:hideMark/>
          </w:tcPr>
          <w:p w14:paraId="048500F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5500.4</w:t>
            </w:r>
          </w:p>
        </w:tc>
        <w:tc>
          <w:tcPr>
            <w:tcW w:w="0" w:type="auto"/>
            <w:shd w:val="clear" w:color="auto" w:fill="auto"/>
            <w:noWrap/>
            <w:vAlign w:val="bottom"/>
            <w:hideMark/>
          </w:tcPr>
          <w:p w14:paraId="7D83E1F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9156.4</w:t>
            </w:r>
          </w:p>
        </w:tc>
      </w:tr>
      <w:tr w:rsidR="008925B8" w:rsidRPr="00DC1D7B" w14:paraId="32AFD7DC" w14:textId="77777777" w:rsidTr="00A9446C">
        <w:trPr>
          <w:trHeight w:val="300"/>
        </w:trPr>
        <w:tc>
          <w:tcPr>
            <w:tcW w:w="0" w:type="auto"/>
            <w:shd w:val="clear" w:color="auto" w:fill="auto"/>
            <w:noWrap/>
          </w:tcPr>
          <w:p w14:paraId="43132FF0" w14:textId="3327FB1C"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5222D20B"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(6511.8)</w:t>
            </w:r>
          </w:p>
        </w:tc>
        <w:tc>
          <w:tcPr>
            <w:tcW w:w="0" w:type="auto"/>
            <w:shd w:val="clear" w:color="auto" w:fill="auto"/>
            <w:noWrap/>
            <w:vAlign w:val="bottom"/>
            <w:hideMark/>
          </w:tcPr>
          <w:p w14:paraId="1CE0D14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(11913.4)</w:t>
            </w:r>
          </w:p>
        </w:tc>
        <w:tc>
          <w:tcPr>
            <w:tcW w:w="0" w:type="auto"/>
            <w:shd w:val="clear" w:color="auto" w:fill="auto"/>
            <w:noWrap/>
            <w:vAlign w:val="bottom"/>
            <w:hideMark/>
          </w:tcPr>
          <w:p w14:paraId="77C87B9C"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(14220.0)</w:t>
            </w:r>
          </w:p>
        </w:tc>
        <w:tc>
          <w:tcPr>
            <w:tcW w:w="0" w:type="auto"/>
            <w:shd w:val="clear" w:color="auto" w:fill="auto"/>
            <w:noWrap/>
            <w:vAlign w:val="bottom"/>
            <w:hideMark/>
          </w:tcPr>
          <w:p w14:paraId="613AF712"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(15356.1)</w:t>
            </w:r>
          </w:p>
        </w:tc>
        <w:tc>
          <w:tcPr>
            <w:tcW w:w="0" w:type="auto"/>
            <w:shd w:val="clear" w:color="auto" w:fill="auto"/>
            <w:noWrap/>
            <w:vAlign w:val="bottom"/>
            <w:hideMark/>
          </w:tcPr>
          <w:p w14:paraId="2E2560DB"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(20805.7)</w:t>
            </w:r>
          </w:p>
        </w:tc>
      </w:tr>
      <w:tr w:rsidR="008925B8" w:rsidRPr="00DC1D7B" w14:paraId="408887A2" w14:textId="77777777" w:rsidTr="00A9446C">
        <w:trPr>
          <w:trHeight w:val="300"/>
        </w:trPr>
        <w:tc>
          <w:tcPr>
            <w:tcW w:w="0" w:type="auto"/>
            <w:shd w:val="clear" w:color="auto" w:fill="auto"/>
            <w:noWrap/>
          </w:tcPr>
          <w:p w14:paraId="1EF8ED83" w14:textId="0A01E1BF" w:rsidR="008925B8" w:rsidRPr="00DC1D7B" w:rsidRDefault="008925B8" w:rsidP="00DC1D7B">
            <w:pPr>
              <w:spacing w:before="0" w:after="0"/>
              <w:rPr>
                <w:rFonts w:eastAsia="Times New Roman"/>
                <w:color w:val="000000"/>
                <w:sz w:val="22"/>
                <w:szCs w:val="22"/>
              </w:rPr>
            </w:pPr>
            <w:r w:rsidRPr="00DC1D7B">
              <w:t>Renter occupied by 65+</w:t>
            </w:r>
          </w:p>
        </w:tc>
        <w:tc>
          <w:tcPr>
            <w:tcW w:w="0" w:type="auto"/>
            <w:shd w:val="clear" w:color="auto" w:fill="auto"/>
            <w:noWrap/>
            <w:vAlign w:val="bottom"/>
            <w:hideMark/>
          </w:tcPr>
          <w:p w14:paraId="4EBC8538"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231.8</w:t>
            </w:r>
          </w:p>
        </w:tc>
        <w:tc>
          <w:tcPr>
            <w:tcW w:w="0" w:type="auto"/>
            <w:shd w:val="clear" w:color="auto" w:fill="auto"/>
            <w:noWrap/>
            <w:vAlign w:val="bottom"/>
            <w:hideMark/>
          </w:tcPr>
          <w:p w14:paraId="314F8BE3"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640.7</w:t>
            </w:r>
          </w:p>
        </w:tc>
        <w:tc>
          <w:tcPr>
            <w:tcW w:w="0" w:type="auto"/>
            <w:shd w:val="clear" w:color="auto" w:fill="auto"/>
            <w:noWrap/>
            <w:vAlign w:val="bottom"/>
            <w:hideMark/>
          </w:tcPr>
          <w:p w14:paraId="53B6556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620.6</w:t>
            </w:r>
          </w:p>
        </w:tc>
        <w:tc>
          <w:tcPr>
            <w:tcW w:w="0" w:type="auto"/>
            <w:shd w:val="clear" w:color="auto" w:fill="auto"/>
            <w:noWrap/>
            <w:vAlign w:val="bottom"/>
            <w:hideMark/>
          </w:tcPr>
          <w:p w14:paraId="14F87897"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644.8</w:t>
            </w:r>
          </w:p>
        </w:tc>
        <w:tc>
          <w:tcPr>
            <w:tcW w:w="0" w:type="auto"/>
            <w:shd w:val="clear" w:color="auto" w:fill="auto"/>
            <w:noWrap/>
            <w:vAlign w:val="bottom"/>
            <w:hideMark/>
          </w:tcPr>
          <w:p w14:paraId="1B36F699"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887.1</w:t>
            </w:r>
          </w:p>
        </w:tc>
      </w:tr>
      <w:tr w:rsidR="008925B8" w:rsidRPr="00DC1D7B" w14:paraId="38718A8B" w14:textId="77777777" w:rsidTr="00A9446C">
        <w:trPr>
          <w:trHeight w:val="300"/>
        </w:trPr>
        <w:tc>
          <w:tcPr>
            <w:tcW w:w="0" w:type="auto"/>
            <w:shd w:val="clear" w:color="auto" w:fill="auto"/>
            <w:noWrap/>
          </w:tcPr>
          <w:p w14:paraId="50C82D0A" w14:textId="4D5D6598"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2A74B4A5"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(519.5)</w:t>
            </w:r>
          </w:p>
        </w:tc>
        <w:tc>
          <w:tcPr>
            <w:tcW w:w="0" w:type="auto"/>
            <w:shd w:val="clear" w:color="auto" w:fill="auto"/>
            <w:noWrap/>
            <w:vAlign w:val="bottom"/>
            <w:hideMark/>
          </w:tcPr>
          <w:p w14:paraId="5A42F9E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(1664.9)</w:t>
            </w:r>
          </w:p>
        </w:tc>
        <w:tc>
          <w:tcPr>
            <w:tcW w:w="0" w:type="auto"/>
            <w:shd w:val="clear" w:color="auto" w:fill="auto"/>
            <w:noWrap/>
            <w:vAlign w:val="bottom"/>
            <w:hideMark/>
          </w:tcPr>
          <w:p w14:paraId="567901B5"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(1523.5)</w:t>
            </w:r>
          </w:p>
        </w:tc>
        <w:tc>
          <w:tcPr>
            <w:tcW w:w="0" w:type="auto"/>
            <w:shd w:val="clear" w:color="auto" w:fill="auto"/>
            <w:noWrap/>
            <w:vAlign w:val="bottom"/>
            <w:hideMark/>
          </w:tcPr>
          <w:p w14:paraId="7B4355D7"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(1525.1)</w:t>
            </w:r>
          </w:p>
        </w:tc>
        <w:tc>
          <w:tcPr>
            <w:tcW w:w="0" w:type="auto"/>
            <w:shd w:val="clear" w:color="auto" w:fill="auto"/>
            <w:noWrap/>
            <w:vAlign w:val="bottom"/>
            <w:hideMark/>
          </w:tcPr>
          <w:p w14:paraId="6141182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(1824.8)</w:t>
            </w:r>
          </w:p>
        </w:tc>
      </w:tr>
      <w:tr w:rsidR="008925B8" w:rsidRPr="00DC1D7B" w14:paraId="2D88DC0A" w14:textId="77777777" w:rsidTr="00A9446C">
        <w:trPr>
          <w:trHeight w:val="300"/>
        </w:trPr>
        <w:tc>
          <w:tcPr>
            <w:tcW w:w="0" w:type="auto"/>
            <w:shd w:val="clear" w:color="auto" w:fill="auto"/>
            <w:noWrap/>
          </w:tcPr>
          <w:p w14:paraId="76DCBF19" w14:textId="334AC7C8" w:rsidR="008925B8" w:rsidRPr="00DC1D7B" w:rsidRDefault="008925B8" w:rsidP="008925B8">
            <w:pPr>
              <w:spacing w:before="0" w:after="0"/>
              <w:rPr>
                <w:rFonts w:eastAsia="Times New Roman"/>
                <w:color w:val="000000"/>
                <w:sz w:val="22"/>
                <w:szCs w:val="22"/>
              </w:rPr>
            </w:pPr>
            <w:r>
              <w:t>Mean value</w:t>
            </w:r>
            <w:r w:rsidRPr="00DC1D7B">
              <w:t xml:space="preserve"> under 65</w:t>
            </w:r>
          </w:p>
        </w:tc>
        <w:tc>
          <w:tcPr>
            <w:tcW w:w="0" w:type="auto"/>
            <w:shd w:val="clear" w:color="auto" w:fill="auto"/>
            <w:noWrap/>
            <w:vAlign w:val="bottom"/>
            <w:hideMark/>
          </w:tcPr>
          <w:p w14:paraId="0D9C22AA" w14:textId="56605178"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12</w:t>
            </w:r>
            <w:r w:rsidR="00622A5C">
              <w:rPr>
                <w:rFonts w:eastAsia="Times New Roman"/>
                <w:color w:val="000000"/>
                <w:sz w:val="22"/>
                <w:szCs w:val="22"/>
              </w:rPr>
              <w:t>,</w:t>
            </w:r>
            <w:r w:rsidRPr="00DC1D7B">
              <w:rPr>
                <w:rFonts w:eastAsia="Times New Roman"/>
                <w:color w:val="000000"/>
                <w:sz w:val="22"/>
                <w:szCs w:val="22"/>
              </w:rPr>
              <w:t>877.3</w:t>
            </w:r>
          </w:p>
        </w:tc>
        <w:tc>
          <w:tcPr>
            <w:tcW w:w="0" w:type="auto"/>
            <w:shd w:val="clear" w:color="auto" w:fill="auto"/>
            <w:noWrap/>
            <w:vAlign w:val="bottom"/>
            <w:hideMark/>
          </w:tcPr>
          <w:p w14:paraId="39EA7B8C" w14:textId="1FD23E2A"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35</w:t>
            </w:r>
            <w:r w:rsidR="00622A5C">
              <w:rPr>
                <w:rFonts w:eastAsia="Times New Roman"/>
                <w:color w:val="000000"/>
                <w:sz w:val="22"/>
                <w:szCs w:val="22"/>
              </w:rPr>
              <w:t>,</w:t>
            </w:r>
            <w:r w:rsidRPr="00DC1D7B">
              <w:rPr>
                <w:rFonts w:eastAsia="Times New Roman"/>
                <w:color w:val="000000"/>
                <w:sz w:val="22"/>
                <w:szCs w:val="22"/>
              </w:rPr>
              <w:t>090.8</w:t>
            </w:r>
          </w:p>
        </w:tc>
        <w:tc>
          <w:tcPr>
            <w:tcW w:w="0" w:type="auto"/>
            <w:shd w:val="clear" w:color="auto" w:fill="auto"/>
            <w:noWrap/>
            <w:vAlign w:val="bottom"/>
            <w:hideMark/>
          </w:tcPr>
          <w:p w14:paraId="73926EA4" w14:textId="30115C28"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62</w:t>
            </w:r>
            <w:r w:rsidR="00622A5C">
              <w:rPr>
                <w:rFonts w:eastAsia="Times New Roman"/>
                <w:color w:val="000000"/>
                <w:sz w:val="22"/>
                <w:szCs w:val="22"/>
              </w:rPr>
              <w:t>,</w:t>
            </w:r>
            <w:r w:rsidRPr="00DC1D7B">
              <w:rPr>
                <w:rFonts w:eastAsia="Times New Roman"/>
                <w:color w:val="000000"/>
                <w:sz w:val="22"/>
                <w:szCs w:val="22"/>
              </w:rPr>
              <w:t>222.9</w:t>
            </w:r>
          </w:p>
        </w:tc>
        <w:tc>
          <w:tcPr>
            <w:tcW w:w="0" w:type="auto"/>
            <w:shd w:val="clear" w:color="auto" w:fill="auto"/>
            <w:noWrap/>
            <w:vAlign w:val="bottom"/>
            <w:hideMark/>
          </w:tcPr>
          <w:p w14:paraId="53AB800A" w14:textId="6FFB1D65"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103</w:t>
            </w:r>
            <w:r w:rsidR="00622A5C">
              <w:rPr>
                <w:rFonts w:eastAsia="Times New Roman"/>
                <w:color w:val="000000"/>
                <w:sz w:val="22"/>
                <w:szCs w:val="22"/>
              </w:rPr>
              <w:t>,</w:t>
            </w:r>
            <w:r w:rsidRPr="00DC1D7B">
              <w:rPr>
                <w:rFonts w:eastAsia="Times New Roman"/>
                <w:color w:val="000000"/>
                <w:sz w:val="22"/>
                <w:szCs w:val="22"/>
              </w:rPr>
              <w:t>554.2</w:t>
            </w:r>
          </w:p>
        </w:tc>
        <w:tc>
          <w:tcPr>
            <w:tcW w:w="0" w:type="auto"/>
            <w:shd w:val="clear" w:color="auto" w:fill="auto"/>
            <w:noWrap/>
            <w:vAlign w:val="bottom"/>
            <w:hideMark/>
          </w:tcPr>
          <w:p w14:paraId="755BE036" w14:textId="151A60F6"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151</w:t>
            </w:r>
            <w:r w:rsidR="00622A5C">
              <w:rPr>
                <w:rFonts w:eastAsia="Times New Roman"/>
                <w:color w:val="000000"/>
                <w:sz w:val="22"/>
                <w:szCs w:val="22"/>
              </w:rPr>
              <w:t>,</w:t>
            </w:r>
            <w:r w:rsidRPr="00DC1D7B">
              <w:rPr>
                <w:rFonts w:eastAsia="Times New Roman"/>
                <w:color w:val="000000"/>
                <w:sz w:val="22"/>
                <w:szCs w:val="22"/>
              </w:rPr>
              <w:t>718.3</w:t>
            </w:r>
          </w:p>
        </w:tc>
      </w:tr>
      <w:tr w:rsidR="008925B8" w:rsidRPr="00DC1D7B" w14:paraId="563C7763" w14:textId="77777777" w:rsidTr="00A9446C">
        <w:trPr>
          <w:trHeight w:val="300"/>
        </w:trPr>
        <w:tc>
          <w:tcPr>
            <w:tcW w:w="0" w:type="auto"/>
            <w:shd w:val="clear" w:color="auto" w:fill="auto"/>
            <w:noWrap/>
          </w:tcPr>
          <w:p w14:paraId="766E3536" w14:textId="0CEAC2C5" w:rsidR="008925B8" w:rsidRPr="00DC1D7B" w:rsidRDefault="008925B8" w:rsidP="00DC1D7B">
            <w:pPr>
              <w:spacing w:before="0" w:after="0"/>
              <w:rPr>
                <w:rFonts w:eastAsia="Times New Roman"/>
                <w:color w:val="000000"/>
                <w:sz w:val="22"/>
                <w:szCs w:val="22"/>
              </w:rPr>
            </w:pPr>
          </w:p>
        </w:tc>
        <w:tc>
          <w:tcPr>
            <w:tcW w:w="0" w:type="auto"/>
            <w:shd w:val="clear" w:color="auto" w:fill="auto"/>
            <w:noWrap/>
            <w:vAlign w:val="bottom"/>
            <w:hideMark/>
          </w:tcPr>
          <w:p w14:paraId="7CFC40B0"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(2770.2)</w:t>
            </w:r>
          </w:p>
        </w:tc>
        <w:tc>
          <w:tcPr>
            <w:tcW w:w="0" w:type="auto"/>
            <w:shd w:val="clear" w:color="auto" w:fill="auto"/>
            <w:noWrap/>
            <w:vAlign w:val="bottom"/>
            <w:hideMark/>
          </w:tcPr>
          <w:p w14:paraId="744AABAD"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(8360.1)</w:t>
            </w:r>
          </w:p>
        </w:tc>
        <w:tc>
          <w:tcPr>
            <w:tcW w:w="0" w:type="auto"/>
            <w:shd w:val="clear" w:color="auto" w:fill="auto"/>
            <w:noWrap/>
            <w:vAlign w:val="bottom"/>
            <w:hideMark/>
          </w:tcPr>
          <w:p w14:paraId="6FA902E8"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(20094.7)</w:t>
            </w:r>
          </w:p>
        </w:tc>
        <w:tc>
          <w:tcPr>
            <w:tcW w:w="0" w:type="auto"/>
            <w:shd w:val="clear" w:color="auto" w:fill="auto"/>
            <w:noWrap/>
            <w:vAlign w:val="bottom"/>
            <w:hideMark/>
          </w:tcPr>
          <w:p w14:paraId="41E1703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(36960.5)</w:t>
            </w:r>
          </w:p>
        </w:tc>
        <w:tc>
          <w:tcPr>
            <w:tcW w:w="0" w:type="auto"/>
            <w:shd w:val="clear" w:color="auto" w:fill="auto"/>
            <w:noWrap/>
            <w:vAlign w:val="bottom"/>
            <w:hideMark/>
          </w:tcPr>
          <w:p w14:paraId="009C055F"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(52742.1)</w:t>
            </w:r>
          </w:p>
        </w:tc>
      </w:tr>
      <w:tr w:rsidR="008925B8" w:rsidRPr="00DC1D7B" w14:paraId="3104C128" w14:textId="77777777" w:rsidTr="003067B3">
        <w:trPr>
          <w:trHeight w:val="300"/>
        </w:trPr>
        <w:tc>
          <w:tcPr>
            <w:tcW w:w="0" w:type="auto"/>
            <w:tcBorders>
              <w:bottom w:val="nil"/>
            </w:tcBorders>
            <w:shd w:val="clear" w:color="auto" w:fill="auto"/>
            <w:noWrap/>
          </w:tcPr>
          <w:p w14:paraId="68BCF9A3" w14:textId="13C6D96E" w:rsidR="008925B8" w:rsidRPr="00DC1D7B" w:rsidRDefault="008925B8" w:rsidP="008925B8">
            <w:pPr>
              <w:spacing w:before="0" w:after="0"/>
              <w:rPr>
                <w:rFonts w:eastAsia="Times New Roman"/>
                <w:color w:val="000000"/>
                <w:sz w:val="22"/>
                <w:szCs w:val="22"/>
              </w:rPr>
            </w:pPr>
            <w:r>
              <w:t>Mean value 65+</w:t>
            </w:r>
          </w:p>
        </w:tc>
        <w:tc>
          <w:tcPr>
            <w:tcW w:w="0" w:type="auto"/>
            <w:tcBorders>
              <w:bottom w:val="nil"/>
            </w:tcBorders>
            <w:shd w:val="clear" w:color="auto" w:fill="auto"/>
            <w:noWrap/>
            <w:vAlign w:val="bottom"/>
            <w:hideMark/>
          </w:tcPr>
          <w:p w14:paraId="34C1D8E7" w14:textId="48223E03"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10</w:t>
            </w:r>
            <w:r w:rsidR="00622A5C">
              <w:rPr>
                <w:rFonts w:eastAsia="Times New Roman"/>
                <w:color w:val="000000"/>
                <w:sz w:val="22"/>
                <w:szCs w:val="22"/>
              </w:rPr>
              <w:t>,</w:t>
            </w:r>
            <w:r w:rsidRPr="00DC1D7B">
              <w:rPr>
                <w:rFonts w:eastAsia="Times New Roman"/>
                <w:color w:val="000000"/>
                <w:sz w:val="22"/>
                <w:szCs w:val="22"/>
              </w:rPr>
              <w:t>740.0</w:t>
            </w:r>
          </w:p>
        </w:tc>
        <w:tc>
          <w:tcPr>
            <w:tcW w:w="0" w:type="auto"/>
            <w:tcBorders>
              <w:bottom w:val="nil"/>
            </w:tcBorders>
            <w:shd w:val="clear" w:color="auto" w:fill="auto"/>
            <w:noWrap/>
            <w:vAlign w:val="bottom"/>
            <w:hideMark/>
          </w:tcPr>
          <w:p w14:paraId="0BAAE4F9" w14:textId="5FA78CD3"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26</w:t>
            </w:r>
            <w:r w:rsidR="00622A5C">
              <w:rPr>
                <w:rFonts w:eastAsia="Times New Roman"/>
                <w:color w:val="000000"/>
                <w:sz w:val="22"/>
                <w:szCs w:val="22"/>
              </w:rPr>
              <w:t>,</w:t>
            </w:r>
            <w:r w:rsidRPr="00DC1D7B">
              <w:rPr>
                <w:rFonts w:eastAsia="Times New Roman"/>
                <w:color w:val="000000"/>
                <w:sz w:val="22"/>
                <w:szCs w:val="22"/>
              </w:rPr>
              <w:t>178.0</w:t>
            </w:r>
          </w:p>
        </w:tc>
        <w:tc>
          <w:tcPr>
            <w:tcW w:w="0" w:type="auto"/>
            <w:tcBorders>
              <w:bottom w:val="nil"/>
            </w:tcBorders>
            <w:shd w:val="clear" w:color="auto" w:fill="auto"/>
            <w:noWrap/>
            <w:vAlign w:val="bottom"/>
            <w:hideMark/>
          </w:tcPr>
          <w:p w14:paraId="361EC9C6" w14:textId="25094725"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51</w:t>
            </w:r>
            <w:r w:rsidR="00622A5C">
              <w:rPr>
                <w:rFonts w:eastAsia="Times New Roman"/>
                <w:color w:val="000000"/>
                <w:sz w:val="22"/>
                <w:szCs w:val="22"/>
              </w:rPr>
              <w:t>,</w:t>
            </w:r>
            <w:r w:rsidRPr="00DC1D7B">
              <w:rPr>
                <w:rFonts w:eastAsia="Times New Roman"/>
                <w:color w:val="000000"/>
                <w:sz w:val="22"/>
                <w:szCs w:val="22"/>
              </w:rPr>
              <w:t>780.1</w:t>
            </w:r>
          </w:p>
        </w:tc>
        <w:tc>
          <w:tcPr>
            <w:tcW w:w="0" w:type="auto"/>
            <w:tcBorders>
              <w:bottom w:val="nil"/>
            </w:tcBorders>
            <w:shd w:val="clear" w:color="auto" w:fill="auto"/>
            <w:noWrap/>
            <w:vAlign w:val="bottom"/>
            <w:hideMark/>
          </w:tcPr>
          <w:p w14:paraId="562F75F0" w14:textId="0FA3AC6C"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89</w:t>
            </w:r>
            <w:r w:rsidR="00622A5C">
              <w:rPr>
                <w:rFonts w:eastAsia="Times New Roman"/>
                <w:color w:val="000000"/>
                <w:sz w:val="22"/>
                <w:szCs w:val="22"/>
              </w:rPr>
              <w:t>,</w:t>
            </w:r>
            <w:r w:rsidRPr="00DC1D7B">
              <w:rPr>
                <w:rFonts w:eastAsia="Times New Roman"/>
                <w:color w:val="000000"/>
                <w:sz w:val="22"/>
                <w:szCs w:val="22"/>
              </w:rPr>
              <w:t>296.9</w:t>
            </w:r>
          </w:p>
        </w:tc>
        <w:tc>
          <w:tcPr>
            <w:tcW w:w="0" w:type="auto"/>
            <w:tcBorders>
              <w:bottom w:val="nil"/>
            </w:tcBorders>
            <w:shd w:val="clear" w:color="auto" w:fill="auto"/>
            <w:noWrap/>
            <w:vAlign w:val="bottom"/>
            <w:hideMark/>
          </w:tcPr>
          <w:p w14:paraId="75CC5D30" w14:textId="300679E9"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154</w:t>
            </w:r>
            <w:r w:rsidR="00622A5C">
              <w:rPr>
                <w:rFonts w:eastAsia="Times New Roman"/>
                <w:color w:val="000000"/>
                <w:sz w:val="22"/>
                <w:szCs w:val="22"/>
              </w:rPr>
              <w:t>,</w:t>
            </w:r>
            <w:r w:rsidRPr="00DC1D7B">
              <w:rPr>
                <w:rFonts w:eastAsia="Times New Roman"/>
                <w:color w:val="000000"/>
                <w:sz w:val="22"/>
                <w:szCs w:val="22"/>
              </w:rPr>
              <w:t>005.9</w:t>
            </w:r>
          </w:p>
        </w:tc>
      </w:tr>
      <w:tr w:rsidR="008925B8" w:rsidRPr="00DC1D7B" w14:paraId="3DB5486C" w14:textId="77777777" w:rsidTr="003067B3">
        <w:trPr>
          <w:trHeight w:val="300"/>
        </w:trPr>
        <w:tc>
          <w:tcPr>
            <w:tcW w:w="0" w:type="auto"/>
            <w:tcBorders>
              <w:top w:val="nil"/>
              <w:bottom w:val="double" w:sz="4" w:space="0" w:color="auto"/>
            </w:tcBorders>
            <w:shd w:val="clear" w:color="auto" w:fill="auto"/>
            <w:noWrap/>
            <w:vAlign w:val="bottom"/>
            <w:hideMark/>
          </w:tcPr>
          <w:p w14:paraId="1E72DBD2" w14:textId="77777777" w:rsidR="008925B8" w:rsidRPr="00DC1D7B" w:rsidRDefault="008925B8" w:rsidP="00DC1D7B">
            <w:pPr>
              <w:spacing w:before="0" w:after="0"/>
              <w:rPr>
                <w:rFonts w:eastAsia="Times New Roman"/>
                <w:color w:val="000000"/>
                <w:sz w:val="22"/>
                <w:szCs w:val="22"/>
              </w:rPr>
            </w:pPr>
          </w:p>
        </w:tc>
        <w:tc>
          <w:tcPr>
            <w:tcW w:w="0" w:type="auto"/>
            <w:tcBorders>
              <w:top w:val="nil"/>
              <w:bottom w:val="double" w:sz="4" w:space="0" w:color="auto"/>
            </w:tcBorders>
            <w:shd w:val="clear" w:color="auto" w:fill="auto"/>
            <w:noWrap/>
            <w:vAlign w:val="bottom"/>
            <w:hideMark/>
          </w:tcPr>
          <w:p w14:paraId="3767DB49"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(2248.7)</w:t>
            </w:r>
          </w:p>
        </w:tc>
        <w:tc>
          <w:tcPr>
            <w:tcW w:w="0" w:type="auto"/>
            <w:tcBorders>
              <w:top w:val="nil"/>
              <w:bottom w:val="double" w:sz="4" w:space="0" w:color="auto"/>
            </w:tcBorders>
            <w:shd w:val="clear" w:color="auto" w:fill="auto"/>
            <w:noWrap/>
            <w:vAlign w:val="bottom"/>
            <w:hideMark/>
          </w:tcPr>
          <w:p w14:paraId="26544AC0"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(6021.2)</w:t>
            </w:r>
          </w:p>
        </w:tc>
        <w:tc>
          <w:tcPr>
            <w:tcW w:w="0" w:type="auto"/>
            <w:tcBorders>
              <w:top w:val="nil"/>
              <w:bottom w:val="double" w:sz="4" w:space="0" w:color="auto"/>
            </w:tcBorders>
            <w:shd w:val="clear" w:color="auto" w:fill="auto"/>
            <w:noWrap/>
            <w:vAlign w:val="bottom"/>
            <w:hideMark/>
          </w:tcPr>
          <w:p w14:paraId="0AC46951"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(16963.9)</w:t>
            </w:r>
          </w:p>
        </w:tc>
        <w:tc>
          <w:tcPr>
            <w:tcW w:w="0" w:type="auto"/>
            <w:tcBorders>
              <w:top w:val="nil"/>
              <w:bottom w:val="double" w:sz="4" w:space="0" w:color="auto"/>
            </w:tcBorders>
            <w:shd w:val="clear" w:color="auto" w:fill="auto"/>
            <w:noWrap/>
            <w:vAlign w:val="bottom"/>
            <w:hideMark/>
          </w:tcPr>
          <w:p w14:paraId="2C08F96E"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(34515.8)</w:t>
            </w:r>
          </w:p>
        </w:tc>
        <w:tc>
          <w:tcPr>
            <w:tcW w:w="0" w:type="auto"/>
            <w:tcBorders>
              <w:top w:val="nil"/>
              <w:bottom w:val="double" w:sz="4" w:space="0" w:color="auto"/>
            </w:tcBorders>
            <w:shd w:val="clear" w:color="auto" w:fill="auto"/>
            <w:noWrap/>
            <w:vAlign w:val="bottom"/>
            <w:hideMark/>
          </w:tcPr>
          <w:p w14:paraId="6F55C2DB" w14:textId="77777777" w:rsidR="008925B8" w:rsidRPr="00DC1D7B" w:rsidRDefault="008925B8" w:rsidP="00F6286A">
            <w:pPr>
              <w:spacing w:before="0" w:after="0"/>
              <w:jc w:val="center"/>
              <w:rPr>
                <w:rFonts w:eastAsia="Times New Roman"/>
                <w:color w:val="000000"/>
                <w:sz w:val="22"/>
                <w:szCs w:val="22"/>
              </w:rPr>
            </w:pPr>
            <w:r w:rsidRPr="00DC1D7B">
              <w:rPr>
                <w:rFonts w:eastAsia="Times New Roman"/>
                <w:color w:val="000000"/>
                <w:sz w:val="22"/>
                <w:szCs w:val="22"/>
              </w:rPr>
              <w:t>(62374.4)</w:t>
            </w:r>
          </w:p>
        </w:tc>
      </w:tr>
    </w:tbl>
    <w:p w14:paraId="391CB8AE" w14:textId="668DEDDD" w:rsidR="00DC1D7B" w:rsidRPr="004B6EDA" w:rsidRDefault="00A9446C" w:rsidP="008925B8">
      <w:pPr>
        <w:spacing w:after="0"/>
        <w:contextualSpacing/>
      </w:pPr>
      <w:r w:rsidRPr="004B6EDA">
        <w:t xml:space="preserve">NOTES: </w:t>
      </w:r>
      <w:r w:rsidR="008925B8" w:rsidRPr="004B6EDA">
        <w:t>The table reports the mean and standard deviation of household composition and housing values as well as our measure of treatment in the sample of 159 Georgia counties over time.</w:t>
      </w:r>
    </w:p>
    <w:p w14:paraId="7B11B7F3" w14:textId="77777777" w:rsidR="009F5908" w:rsidRPr="0075584F" w:rsidRDefault="009F5908" w:rsidP="00254BEC">
      <w:pPr>
        <w:ind w:left="720" w:hanging="720"/>
      </w:pPr>
    </w:p>
    <w:p w14:paraId="3EBEFBEC" w14:textId="77777777" w:rsidR="00AA5C6B" w:rsidRDefault="00AA5C6B">
      <w:pPr>
        <w:spacing w:before="0" w:after="160" w:line="259" w:lineRule="auto"/>
        <w:rPr>
          <w:b/>
        </w:rPr>
      </w:pPr>
      <w:r>
        <w:rPr>
          <w:b/>
        </w:rPr>
        <w:br w:type="page"/>
      </w:r>
    </w:p>
    <w:p w14:paraId="3FD36453" w14:textId="77777777" w:rsidR="00AA5C6B" w:rsidRPr="007F3719" w:rsidRDefault="00AA5C6B" w:rsidP="00AA5C6B">
      <w:pPr>
        <w:spacing w:before="0" w:after="0"/>
        <w:contextualSpacing/>
        <w:rPr>
          <w:b/>
        </w:rPr>
      </w:pPr>
      <w:r w:rsidRPr="007F3719">
        <w:rPr>
          <w:b/>
        </w:rPr>
        <w:lastRenderedPageBreak/>
        <w:t xml:space="preserve">Table </w:t>
      </w:r>
      <w:r>
        <w:rPr>
          <w:b/>
        </w:rPr>
        <w:t>4</w:t>
      </w:r>
      <w:r w:rsidRPr="007F3719">
        <w:rPr>
          <w:b/>
        </w:rPr>
        <w:t xml:space="preserve">. Count of household type quadruple-difference </w:t>
      </w:r>
    </w:p>
    <w:tbl>
      <w:tblPr>
        <w:tblW w:w="0" w:type="auto"/>
        <w:jc w:val="center"/>
        <w:tblCellMar>
          <w:left w:w="75" w:type="dxa"/>
          <w:right w:w="75" w:type="dxa"/>
        </w:tblCellMar>
        <w:tblLook w:val="0000" w:firstRow="0" w:lastRow="0" w:firstColumn="0" w:lastColumn="0" w:noHBand="0" w:noVBand="0"/>
      </w:tblPr>
      <w:tblGrid>
        <w:gridCol w:w="2503"/>
        <w:gridCol w:w="1130"/>
        <w:gridCol w:w="1130"/>
        <w:gridCol w:w="1130"/>
        <w:gridCol w:w="1130"/>
        <w:gridCol w:w="1130"/>
        <w:gridCol w:w="1130"/>
      </w:tblGrid>
      <w:tr w:rsidR="00AA5C6B" w:rsidRPr="00066FD9" w14:paraId="6736F4CA" w14:textId="77777777" w:rsidTr="00AA5C6B">
        <w:trPr>
          <w:jc w:val="center"/>
        </w:trPr>
        <w:tc>
          <w:tcPr>
            <w:tcW w:w="0" w:type="auto"/>
            <w:tcBorders>
              <w:top w:val="single" w:sz="6" w:space="0" w:color="auto"/>
              <w:left w:val="nil"/>
              <w:bottom w:val="nil"/>
              <w:right w:val="nil"/>
            </w:tcBorders>
          </w:tcPr>
          <w:p w14:paraId="2BBCAAF5" w14:textId="77777777" w:rsidR="00AA5C6B" w:rsidRPr="00066FD9" w:rsidRDefault="00AA5C6B" w:rsidP="00AA5C6B">
            <w:pPr>
              <w:widowControl w:val="0"/>
              <w:autoSpaceDE w:val="0"/>
              <w:autoSpaceDN w:val="0"/>
              <w:adjustRightInd w:val="0"/>
              <w:spacing w:before="0" w:after="0"/>
              <w:contextualSpacing/>
            </w:pPr>
          </w:p>
        </w:tc>
        <w:tc>
          <w:tcPr>
            <w:tcW w:w="0" w:type="auto"/>
            <w:gridSpan w:val="3"/>
            <w:tcBorders>
              <w:top w:val="single" w:sz="6" w:space="0" w:color="auto"/>
              <w:left w:val="nil"/>
              <w:bottom w:val="single" w:sz="4" w:space="0" w:color="auto"/>
              <w:right w:val="nil"/>
            </w:tcBorders>
          </w:tcPr>
          <w:p w14:paraId="7FF73491" w14:textId="77777777" w:rsidR="00AA5C6B" w:rsidRPr="00066FD9" w:rsidRDefault="00AA5C6B" w:rsidP="00AA5C6B">
            <w:pPr>
              <w:widowControl w:val="0"/>
              <w:autoSpaceDE w:val="0"/>
              <w:autoSpaceDN w:val="0"/>
              <w:adjustRightInd w:val="0"/>
              <w:spacing w:before="0" w:after="0"/>
              <w:contextualSpacing/>
              <w:jc w:val="center"/>
            </w:pPr>
            <w:r>
              <w:t>Panel A: Exemption Indicator</w:t>
            </w:r>
          </w:p>
        </w:tc>
        <w:tc>
          <w:tcPr>
            <w:tcW w:w="0" w:type="auto"/>
            <w:gridSpan w:val="3"/>
            <w:tcBorders>
              <w:top w:val="single" w:sz="6" w:space="0" w:color="auto"/>
              <w:left w:val="nil"/>
              <w:bottom w:val="single" w:sz="4" w:space="0" w:color="auto"/>
              <w:right w:val="nil"/>
            </w:tcBorders>
          </w:tcPr>
          <w:p w14:paraId="49A8AE63" w14:textId="77777777" w:rsidR="00AA5C6B" w:rsidRPr="00066FD9" w:rsidRDefault="00AA5C6B" w:rsidP="00AA5C6B">
            <w:pPr>
              <w:widowControl w:val="0"/>
              <w:autoSpaceDE w:val="0"/>
              <w:autoSpaceDN w:val="0"/>
              <w:adjustRightInd w:val="0"/>
              <w:spacing w:before="0" w:after="0"/>
              <w:contextualSpacing/>
              <w:jc w:val="center"/>
            </w:pPr>
            <w:r>
              <w:t>Panel B: Simulated Tax Ratio</w:t>
            </w:r>
          </w:p>
        </w:tc>
      </w:tr>
      <w:tr w:rsidR="00AA5C6B" w:rsidRPr="00066FD9" w14:paraId="08A8A28C" w14:textId="77777777" w:rsidTr="00FE27B1">
        <w:trPr>
          <w:jc w:val="center"/>
        </w:trPr>
        <w:tc>
          <w:tcPr>
            <w:tcW w:w="0" w:type="auto"/>
            <w:tcBorders>
              <w:top w:val="nil"/>
              <w:left w:val="nil"/>
              <w:bottom w:val="nil"/>
              <w:right w:val="nil"/>
            </w:tcBorders>
          </w:tcPr>
          <w:p w14:paraId="4259C7A5" w14:textId="77777777" w:rsidR="00AA5C6B" w:rsidRPr="00066FD9" w:rsidRDefault="00AA5C6B" w:rsidP="00AA5C6B">
            <w:pPr>
              <w:widowControl w:val="0"/>
              <w:autoSpaceDE w:val="0"/>
              <w:autoSpaceDN w:val="0"/>
              <w:adjustRightInd w:val="0"/>
              <w:spacing w:before="0" w:after="0"/>
              <w:contextualSpacing/>
            </w:pPr>
          </w:p>
        </w:tc>
        <w:tc>
          <w:tcPr>
            <w:tcW w:w="1130" w:type="dxa"/>
            <w:tcBorders>
              <w:top w:val="single" w:sz="4" w:space="0" w:color="auto"/>
              <w:left w:val="nil"/>
              <w:bottom w:val="nil"/>
              <w:right w:val="nil"/>
            </w:tcBorders>
          </w:tcPr>
          <w:p w14:paraId="094CCBC1" w14:textId="77777777" w:rsidR="00AA5C6B" w:rsidRPr="00066FD9" w:rsidRDefault="00AA5C6B" w:rsidP="00AA5C6B">
            <w:pPr>
              <w:widowControl w:val="0"/>
              <w:autoSpaceDE w:val="0"/>
              <w:autoSpaceDN w:val="0"/>
              <w:adjustRightInd w:val="0"/>
              <w:spacing w:before="0" w:after="0"/>
              <w:contextualSpacing/>
              <w:jc w:val="center"/>
            </w:pPr>
            <w:r w:rsidRPr="00066FD9">
              <w:t>(1)</w:t>
            </w:r>
          </w:p>
        </w:tc>
        <w:tc>
          <w:tcPr>
            <w:tcW w:w="1130" w:type="dxa"/>
            <w:tcBorders>
              <w:top w:val="single" w:sz="4" w:space="0" w:color="auto"/>
              <w:left w:val="nil"/>
              <w:bottom w:val="nil"/>
              <w:right w:val="nil"/>
            </w:tcBorders>
          </w:tcPr>
          <w:p w14:paraId="6231512D" w14:textId="77777777" w:rsidR="00AA5C6B" w:rsidRPr="00066FD9" w:rsidRDefault="00AA5C6B" w:rsidP="00AA5C6B">
            <w:pPr>
              <w:widowControl w:val="0"/>
              <w:autoSpaceDE w:val="0"/>
              <w:autoSpaceDN w:val="0"/>
              <w:adjustRightInd w:val="0"/>
              <w:spacing w:before="0" w:after="0"/>
              <w:contextualSpacing/>
              <w:jc w:val="center"/>
            </w:pPr>
            <w:r w:rsidRPr="00066FD9">
              <w:t>(2)</w:t>
            </w:r>
          </w:p>
        </w:tc>
        <w:tc>
          <w:tcPr>
            <w:tcW w:w="1130" w:type="dxa"/>
            <w:tcBorders>
              <w:top w:val="single" w:sz="4" w:space="0" w:color="auto"/>
              <w:left w:val="nil"/>
              <w:bottom w:val="nil"/>
              <w:right w:val="nil"/>
            </w:tcBorders>
          </w:tcPr>
          <w:p w14:paraId="19040FAE" w14:textId="77777777" w:rsidR="00AA5C6B" w:rsidRPr="00066FD9" w:rsidRDefault="00AA5C6B" w:rsidP="00AA5C6B">
            <w:pPr>
              <w:widowControl w:val="0"/>
              <w:autoSpaceDE w:val="0"/>
              <w:autoSpaceDN w:val="0"/>
              <w:adjustRightInd w:val="0"/>
              <w:spacing w:before="0" w:after="0"/>
              <w:contextualSpacing/>
              <w:jc w:val="center"/>
            </w:pPr>
            <w:r w:rsidRPr="00066FD9">
              <w:t>(3)</w:t>
            </w:r>
          </w:p>
        </w:tc>
        <w:tc>
          <w:tcPr>
            <w:tcW w:w="0" w:type="auto"/>
            <w:tcBorders>
              <w:top w:val="single" w:sz="4" w:space="0" w:color="auto"/>
              <w:left w:val="nil"/>
              <w:bottom w:val="nil"/>
              <w:right w:val="nil"/>
            </w:tcBorders>
          </w:tcPr>
          <w:p w14:paraId="4BDA4201" w14:textId="77777777" w:rsidR="00AA5C6B" w:rsidRPr="00066FD9" w:rsidRDefault="00AA5C6B" w:rsidP="00AA5C6B">
            <w:pPr>
              <w:widowControl w:val="0"/>
              <w:autoSpaceDE w:val="0"/>
              <w:autoSpaceDN w:val="0"/>
              <w:adjustRightInd w:val="0"/>
              <w:spacing w:before="0" w:after="0"/>
              <w:contextualSpacing/>
              <w:jc w:val="center"/>
            </w:pPr>
            <w:r w:rsidRPr="00066FD9">
              <w:t>(1)</w:t>
            </w:r>
          </w:p>
        </w:tc>
        <w:tc>
          <w:tcPr>
            <w:tcW w:w="0" w:type="auto"/>
            <w:tcBorders>
              <w:top w:val="single" w:sz="4" w:space="0" w:color="auto"/>
              <w:left w:val="nil"/>
              <w:bottom w:val="nil"/>
              <w:right w:val="nil"/>
            </w:tcBorders>
          </w:tcPr>
          <w:p w14:paraId="0F22F842" w14:textId="77777777" w:rsidR="00AA5C6B" w:rsidRPr="00066FD9" w:rsidRDefault="00AA5C6B" w:rsidP="00AA5C6B">
            <w:pPr>
              <w:widowControl w:val="0"/>
              <w:autoSpaceDE w:val="0"/>
              <w:autoSpaceDN w:val="0"/>
              <w:adjustRightInd w:val="0"/>
              <w:spacing w:before="0" w:after="0"/>
              <w:contextualSpacing/>
              <w:jc w:val="center"/>
            </w:pPr>
            <w:r w:rsidRPr="00066FD9">
              <w:t>(2)</w:t>
            </w:r>
          </w:p>
        </w:tc>
        <w:tc>
          <w:tcPr>
            <w:tcW w:w="0" w:type="auto"/>
            <w:tcBorders>
              <w:top w:val="single" w:sz="4" w:space="0" w:color="auto"/>
              <w:left w:val="nil"/>
              <w:bottom w:val="nil"/>
              <w:right w:val="nil"/>
            </w:tcBorders>
          </w:tcPr>
          <w:p w14:paraId="4B9AB1ED" w14:textId="77777777" w:rsidR="00AA5C6B" w:rsidRPr="00066FD9" w:rsidRDefault="00AA5C6B" w:rsidP="00AA5C6B">
            <w:pPr>
              <w:widowControl w:val="0"/>
              <w:autoSpaceDE w:val="0"/>
              <w:autoSpaceDN w:val="0"/>
              <w:adjustRightInd w:val="0"/>
              <w:spacing w:before="0" w:after="0"/>
              <w:contextualSpacing/>
              <w:jc w:val="center"/>
            </w:pPr>
            <w:r w:rsidRPr="00066FD9">
              <w:t>(3)</w:t>
            </w:r>
          </w:p>
        </w:tc>
      </w:tr>
      <w:tr w:rsidR="00AA5C6B" w:rsidRPr="00066FD9" w14:paraId="76B6F618" w14:textId="77777777" w:rsidTr="00FE27B1">
        <w:trPr>
          <w:jc w:val="center"/>
        </w:trPr>
        <w:tc>
          <w:tcPr>
            <w:tcW w:w="0" w:type="auto"/>
            <w:tcBorders>
              <w:top w:val="nil"/>
              <w:left w:val="nil"/>
              <w:bottom w:val="nil"/>
              <w:right w:val="nil"/>
            </w:tcBorders>
          </w:tcPr>
          <w:p w14:paraId="48709958" w14:textId="28A07C20" w:rsidR="00AA5C6B" w:rsidRPr="007C21F3" w:rsidRDefault="00FE27B1" w:rsidP="00FE27B1">
            <w:pPr>
              <w:widowControl w:val="0"/>
              <w:autoSpaceDE w:val="0"/>
              <w:autoSpaceDN w:val="0"/>
              <w:adjustRightInd w:val="0"/>
              <w:spacing w:before="0" w:after="0"/>
              <w:contextualSpacing/>
            </w:pPr>
            <w:r w:rsidRPr="007C21F3">
              <w:t>Treat.</w:t>
            </w:r>
            <w:r w:rsidR="00AA5C6B" w:rsidRPr="007C21F3">
              <w:t xml:space="preserve"> X Older X Owner</w:t>
            </w:r>
          </w:p>
        </w:tc>
        <w:tc>
          <w:tcPr>
            <w:tcW w:w="1130" w:type="dxa"/>
            <w:tcBorders>
              <w:top w:val="nil"/>
              <w:left w:val="nil"/>
              <w:bottom w:val="nil"/>
              <w:right w:val="nil"/>
            </w:tcBorders>
          </w:tcPr>
          <w:p w14:paraId="22B79F8F" w14:textId="77777777" w:rsidR="00AA5C6B" w:rsidRPr="007C21F3" w:rsidRDefault="00AA5C6B" w:rsidP="00AA5C6B">
            <w:pPr>
              <w:widowControl w:val="0"/>
              <w:autoSpaceDE w:val="0"/>
              <w:autoSpaceDN w:val="0"/>
              <w:adjustRightInd w:val="0"/>
              <w:spacing w:before="0" w:after="0"/>
              <w:contextualSpacing/>
              <w:jc w:val="center"/>
            </w:pPr>
            <w:r w:rsidRPr="007C21F3">
              <w:t>0.447***</w:t>
            </w:r>
          </w:p>
        </w:tc>
        <w:tc>
          <w:tcPr>
            <w:tcW w:w="1130" w:type="dxa"/>
            <w:tcBorders>
              <w:top w:val="nil"/>
              <w:left w:val="nil"/>
              <w:bottom w:val="nil"/>
              <w:right w:val="nil"/>
            </w:tcBorders>
          </w:tcPr>
          <w:p w14:paraId="7970FB93" w14:textId="77777777" w:rsidR="00AA5C6B" w:rsidRPr="007C21F3" w:rsidRDefault="00AA5C6B" w:rsidP="00AA5C6B">
            <w:pPr>
              <w:widowControl w:val="0"/>
              <w:autoSpaceDE w:val="0"/>
              <w:autoSpaceDN w:val="0"/>
              <w:adjustRightInd w:val="0"/>
              <w:spacing w:before="0" w:after="0"/>
              <w:contextualSpacing/>
              <w:jc w:val="center"/>
            </w:pPr>
            <w:r w:rsidRPr="007C21F3">
              <w:t>0.447***</w:t>
            </w:r>
          </w:p>
        </w:tc>
        <w:tc>
          <w:tcPr>
            <w:tcW w:w="1130" w:type="dxa"/>
            <w:tcBorders>
              <w:top w:val="nil"/>
              <w:left w:val="nil"/>
              <w:bottom w:val="nil"/>
              <w:right w:val="nil"/>
            </w:tcBorders>
          </w:tcPr>
          <w:p w14:paraId="7E70334E" w14:textId="77777777" w:rsidR="00AA5C6B" w:rsidRPr="007C21F3" w:rsidRDefault="00AA5C6B" w:rsidP="00AA5C6B">
            <w:pPr>
              <w:widowControl w:val="0"/>
              <w:autoSpaceDE w:val="0"/>
              <w:autoSpaceDN w:val="0"/>
              <w:adjustRightInd w:val="0"/>
              <w:spacing w:before="0" w:after="0"/>
              <w:contextualSpacing/>
              <w:jc w:val="center"/>
            </w:pPr>
            <w:r w:rsidRPr="007C21F3">
              <w:t>0.447***</w:t>
            </w:r>
          </w:p>
        </w:tc>
        <w:tc>
          <w:tcPr>
            <w:tcW w:w="0" w:type="auto"/>
            <w:tcBorders>
              <w:top w:val="nil"/>
              <w:left w:val="nil"/>
              <w:bottom w:val="nil"/>
              <w:right w:val="nil"/>
            </w:tcBorders>
          </w:tcPr>
          <w:p w14:paraId="316D2FBF" w14:textId="77777777" w:rsidR="00AA5C6B" w:rsidRPr="007C21F3" w:rsidRDefault="00AA5C6B" w:rsidP="00AA5C6B">
            <w:pPr>
              <w:widowControl w:val="0"/>
              <w:autoSpaceDE w:val="0"/>
              <w:autoSpaceDN w:val="0"/>
              <w:adjustRightInd w:val="0"/>
              <w:spacing w:before="0" w:after="0"/>
              <w:contextualSpacing/>
              <w:jc w:val="center"/>
            </w:pPr>
            <w:r w:rsidRPr="007C21F3">
              <w:t>0.625***</w:t>
            </w:r>
          </w:p>
        </w:tc>
        <w:tc>
          <w:tcPr>
            <w:tcW w:w="0" w:type="auto"/>
            <w:tcBorders>
              <w:top w:val="nil"/>
              <w:left w:val="nil"/>
              <w:bottom w:val="nil"/>
              <w:right w:val="nil"/>
            </w:tcBorders>
          </w:tcPr>
          <w:p w14:paraId="44CD8854" w14:textId="77777777" w:rsidR="00AA5C6B" w:rsidRPr="007C21F3" w:rsidRDefault="00AA5C6B" w:rsidP="00AA5C6B">
            <w:pPr>
              <w:widowControl w:val="0"/>
              <w:autoSpaceDE w:val="0"/>
              <w:autoSpaceDN w:val="0"/>
              <w:adjustRightInd w:val="0"/>
              <w:spacing w:before="0" w:after="0"/>
              <w:contextualSpacing/>
              <w:jc w:val="center"/>
            </w:pPr>
            <w:r w:rsidRPr="007C21F3">
              <w:t>0.625***</w:t>
            </w:r>
          </w:p>
        </w:tc>
        <w:tc>
          <w:tcPr>
            <w:tcW w:w="0" w:type="auto"/>
            <w:tcBorders>
              <w:top w:val="nil"/>
              <w:left w:val="nil"/>
              <w:bottom w:val="nil"/>
              <w:right w:val="nil"/>
            </w:tcBorders>
          </w:tcPr>
          <w:p w14:paraId="1BF3E578" w14:textId="77777777" w:rsidR="00AA5C6B" w:rsidRPr="007C21F3" w:rsidRDefault="00AA5C6B" w:rsidP="00AA5C6B">
            <w:pPr>
              <w:widowControl w:val="0"/>
              <w:autoSpaceDE w:val="0"/>
              <w:autoSpaceDN w:val="0"/>
              <w:adjustRightInd w:val="0"/>
              <w:spacing w:before="0" w:after="0"/>
              <w:contextualSpacing/>
              <w:jc w:val="center"/>
            </w:pPr>
            <w:r w:rsidRPr="007C21F3">
              <w:t>0.625***</w:t>
            </w:r>
          </w:p>
        </w:tc>
      </w:tr>
      <w:tr w:rsidR="00AA5C6B" w:rsidRPr="00066FD9" w14:paraId="730EC874" w14:textId="77777777" w:rsidTr="00FE27B1">
        <w:trPr>
          <w:jc w:val="center"/>
        </w:trPr>
        <w:tc>
          <w:tcPr>
            <w:tcW w:w="0" w:type="auto"/>
            <w:tcBorders>
              <w:top w:val="nil"/>
              <w:left w:val="nil"/>
              <w:bottom w:val="nil"/>
              <w:right w:val="nil"/>
            </w:tcBorders>
          </w:tcPr>
          <w:p w14:paraId="640BFE30" w14:textId="77777777" w:rsidR="00AA5C6B" w:rsidRPr="007C21F3" w:rsidRDefault="00AA5C6B" w:rsidP="00AA5C6B">
            <w:pPr>
              <w:widowControl w:val="0"/>
              <w:autoSpaceDE w:val="0"/>
              <w:autoSpaceDN w:val="0"/>
              <w:adjustRightInd w:val="0"/>
              <w:spacing w:before="0" w:after="0"/>
              <w:contextualSpacing/>
            </w:pPr>
          </w:p>
        </w:tc>
        <w:tc>
          <w:tcPr>
            <w:tcW w:w="1130" w:type="dxa"/>
            <w:tcBorders>
              <w:top w:val="nil"/>
              <w:left w:val="nil"/>
              <w:bottom w:val="nil"/>
              <w:right w:val="nil"/>
            </w:tcBorders>
          </w:tcPr>
          <w:p w14:paraId="3B2360DD" w14:textId="77777777" w:rsidR="00AA5C6B" w:rsidRPr="007C21F3" w:rsidRDefault="00AA5C6B" w:rsidP="00AA5C6B">
            <w:pPr>
              <w:widowControl w:val="0"/>
              <w:autoSpaceDE w:val="0"/>
              <w:autoSpaceDN w:val="0"/>
              <w:adjustRightInd w:val="0"/>
              <w:spacing w:before="0" w:after="0"/>
              <w:contextualSpacing/>
              <w:jc w:val="center"/>
            </w:pPr>
            <w:r w:rsidRPr="007C21F3">
              <w:t>(0.0666)</w:t>
            </w:r>
          </w:p>
        </w:tc>
        <w:tc>
          <w:tcPr>
            <w:tcW w:w="1130" w:type="dxa"/>
            <w:tcBorders>
              <w:top w:val="nil"/>
              <w:left w:val="nil"/>
              <w:bottom w:val="nil"/>
              <w:right w:val="nil"/>
            </w:tcBorders>
          </w:tcPr>
          <w:p w14:paraId="5747C790" w14:textId="77777777" w:rsidR="00AA5C6B" w:rsidRPr="007C21F3" w:rsidRDefault="00AA5C6B" w:rsidP="00AA5C6B">
            <w:pPr>
              <w:widowControl w:val="0"/>
              <w:autoSpaceDE w:val="0"/>
              <w:autoSpaceDN w:val="0"/>
              <w:adjustRightInd w:val="0"/>
              <w:spacing w:before="0" w:after="0"/>
              <w:contextualSpacing/>
              <w:jc w:val="center"/>
            </w:pPr>
            <w:r w:rsidRPr="007C21F3">
              <w:t>(0.0677)</w:t>
            </w:r>
          </w:p>
        </w:tc>
        <w:tc>
          <w:tcPr>
            <w:tcW w:w="1130" w:type="dxa"/>
            <w:tcBorders>
              <w:top w:val="nil"/>
              <w:left w:val="nil"/>
              <w:bottom w:val="nil"/>
              <w:right w:val="nil"/>
            </w:tcBorders>
          </w:tcPr>
          <w:p w14:paraId="77BFD1E0" w14:textId="77777777" w:rsidR="00AA5C6B" w:rsidRPr="007C21F3" w:rsidRDefault="00AA5C6B" w:rsidP="00AA5C6B">
            <w:pPr>
              <w:widowControl w:val="0"/>
              <w:autoSpaceDE w:val="0"/>
              <w:autoSpaceDN w:val="0"/>
              <w:adjustRightInd w:val="0"/>
              <w:spacing w:before="0" w:after="0"/>
              <w:contextualSpacing/>
              <w:jc w:val="center"/>
            </w:pPr>
            <w:r w:rsidRPr="007C21F3">
              <w:t>(0.0718)</w:t>
            </w:r>
          </w:p>
        </w:tc>
        <w:tc>
          <w:tcPr>
            <w:tcW w:w="0" w:type="auto"/>
            <w:tcBorders>
              <w:top w:val="nil"/>
              <w:left w:val="nil"/>
              <w:bottom w:val="nil"/>
              <w:right w:val="nil"/>
            </w:tcBorders>
          </w:tcPr>
          <w:p w14:paraId="14E3742A" w14:textId="77777777" w:rsidR="00AA5C6B" w:rsidRPr="007C21F3" w:rsidRDefault="00AA5C6B" w:rsidP="00AA5C6B">
            <w:pPr>
              <w:widowControl w:val="0"/>
              <w:autoSpaceDE w:val="0"/>
              <w:autoSpaceDN w:val="0"/>
              <w:adjustRightInd w:val="0"/>
              <w:spacing w:before="0" w:after="0"/>
              <w:contextualSpacing/>
              <w:jc w:val="center"/>
            </w:pPr>
            <w:r w:rsidRPr="007C21F3">
              <w:t>(0.118)</w:t>
            </w:r>
          </w:p>
        </w:tc>
        <w:tc>
          <w:tcPr>
            <w:tcW w:w="0" w:type="auto"/>
            <w:tcBorders>
              <w:top w:val="nil"/>
              <w:left w:val="nil"/>
              <w:bottom w:val="nil"/>
              <w:right w:val="nil"/>
            </w:tcBorders>
          </w:tcPr>
          <w:p w14:paraId="74EC3769" w14:textId="77777777" w:rsidR="00AA5C6B" w:rsidRPr="007C21F3" w:rsidRDefault="00AA5C6B" w:rsidP="00AA5C6B">
            <w:pPr>
              <w:widowControl w:val="0"/>
              <w:autoSpaceDE w:val="0"/>
              <w:autoSpaceDN w:val="0"/>
              <w:adjustRightInd w:val="0"/>
              <w:spacing w:before="0" w:after="0"/>
              <w:contextualSpacing/>
              <w:jc w:val="center"/>
            </w:pPr>
            <w:r w:rsidRPr="007C21F3">
              <w:t>(0.122)</w:t>
            </w:r>
          </w:p>
        </w:tc>
        <w:tc>
          <w:tcPr>
            <w:tcW w:w="0" w:type="auto"/>
            <w:tcBorders>
              <w:top w:val="nil"/>
              <w:left w:val="nil"/>
              <w:bottom w:val="nil"/>
              <w:right w:val="nil"/>
            </w:tcBorders>
          </w:tcPr>
          <w:p w14:paraId="2516B447" w14:textId="77777777" w:rsidR="00AA5C6B" w:rsidRPr="007C21F3" w:rsidRDefault="00AA5C6B" w:rsidP="00AA5C6B">
            <w:pPr>
              <w:widowControl w:val="0"/>
              <w:autoSpaceDE w:val="0"/>
              <w:autoSpaceDN w:val="0"/>
              <w:adjustRightInd w:val="0"/>
              <w:spacing w:before="0" w:after="0"/>
              <w:contextualSpacing/>
              <w:jc w:val="center"/>
            </w:pPr>
            <w:r w:rsidRPr="007C21F3">
              <w:t>(0.129)</w:t>
            </w:r>
          </w:p>
        </w:tc>
      </w:tr>
      <w:tr w:rsidR="00AA5C6B" w:rsidRPr="00066FD9" w14:paraId="6329A860" w14:textId="77777777" w:rsidTr="00FE27B1">
        <w:trPr>
          <w:jc w:val="center"/>
        </w:trPr>
        <w:tc>
          <w:tcPr>
            <w:tcW w:w="0" w:type="auto"/>
            <w:tcBorders>
              <w:top w:val="nil"/>
              <w:left w:val="nil"/>
              <w:bottom w:val="nil"/>
              <w:right w:val="nil"/>
            </w:tcBorders>
          </w:tcPr>
          <w:p w14:paraId="192D00FB" w14:textId="635A23CC" w:rsidR="00AA5C6B" w:rsidRPr="004B3AE7" w:rsidRDefault="00FE27B1" w:rsidP="00AA5C6B">
            <w:pPr>
              <w:widowControl w:val="0"/>
              <w:autoSpaceDE w:val="0"/>
              <w:autoSpaceDN w:val="0"/>
              <w:adjustRightInd w:val="0"/>
              <w:spacing w:before="0" w:after="0"/>
              <w:contextualSpacing/>
            </w:pPr>
            <w:r w:rsidRPr="004B3AE7">
              <w:t>Treatment</w:t>
            </w:r>
            <w:r w:rsidR="00AA5C6B" w:rsidRPr="004B3AE7">
              <w:t xml:space="preserve"> X Older</w:t>
            </w:r>
          </w:p>
        </w:tc>
        <w:tc>
          <w:tcPr>
            <w:tcW w:w="1130" w:type="dxa"/>
            <w:tcBorders>
              <w:top w:val="nil"/>
              <w:left w:val="nil"/>
              <w:bottom w:val="nil"/>
              <w:right w:val="nil"/>
            </w:tcBorders>
          </w:tcPr>
          <w:p w14:paraId="6E8B53F4" w14:textId="77777777" w:rsidR="00AA5C6B" w:rsidRPr="007C21F3" w:rsidRDefault="00AA5C6B" w:rsidP="00AA5C6B">
            <w:pPr>
              <w:widowControl w:val="0"/>
              <w:autoSpaceDE w:val="0"/>
              <w:autoSpaceDN w:val="0"/>
              <w:adjustRightInd w:val="0"/>
              <w:spacing w:before="0" w:after="0"/>
              <w:contextualSpacing/>
              <w:jc w:val="center"/>
            </w:pPr>
            <w:r w:rsidRPr="007C21F3">
              <w:t>-0.737***</w:t>
            </w:r>
          </w:p>
        </w:tc>
        <w:tc>
          <w:tcPr>
            <w:tcW w:w="1130" w:type="dxa"/>
            <w:tcBorders>
              <w:top w:val="nil"/>
              <w:left w:val="nil"/>
              <w:bottom w:val="nil"/>
              <w:right w:val="nil"/>
            </w:tcBorders>
          </w:tcPr>
          <w:p w14:paraId="7220AF60" w14:textId="77777777" w:rsidR="00AA5C6B" w:rsidRPr="007C21F3" w:rsidRDefault="00AA5C6B" w:rsidP="00AA5C6B">
            <w:pPr>
              <w:widowControl w:val="0"/>
              <w:autoSpaceDE w:val="0"/>
              <w:autoSpaceDN w:val="0"/>
              <w:adjustRightInd w:val="0"/>
              <w:spacing w:before="0" w:after="0"/>
              <w:contextualSpacing/>
              <w:jc w:val="center"/>
            </w:pPr>
            <w:r w:rsidRPr="007C21F3">
              <w:t>-0.737***</w:t>
            </w:r>
          </w:p>
        </w:tc>
        <w:tc>
          <w:tcPr>
            <w:tcW w:w="1130" w:type="dxa"/>
            <w:tcBorders>
              <w:top w:val="nil"/>
              <w:left w:val="nil"/>
              <w:bottom w:val="nil"/>
              <w:right w:val="nil"/>
            </w:tcBorders>
          </w:tcPr>
          <w:p w14:paraId="6AF4D9E7" w14:textId="77777777" w:rsidR="00AA5C6B" w:rsidRPr="007C21F3" w:rsidRDefault="00AA5C6B" w:rsidP="00AA5C6B">
            <w:pPr>
              <w:widowControl w:val="0"/>
              <w:autoSpaceDE w:val="0"/>
              <w:autoSpaceDN w:val="0"/>
              <w:adjustRightInd w:val="0"/>
              <w:spacing w:before="0" w:after="0"/>
              <w:contextualSpacing/>
              <w:jc w:val="center"/>
            </w:pPr>
            <w:r w:rsidRPr="007C21F3">
              <w:t>-0.212***</w:t>
            </w:r>
          </w:p>
        </w:tc>
        <w:tc>
          <w:tcPr>
            <w:tcW w:w="0" w:type="auto"/>
            <w:tcBorders>
              <w:top w:val="nil"/>
              <w:left w:val="nil"/>
              <w:bottom w:val="nil"/>
              <w:right w:val="nil"/>
            </w:tcBorders>
          </w:tcPr>
          <w:p w14:paraId="4E585FA3" w14:textId="77777777" w:rsidR="00AA5C6B" w:rsidRPr="007C21F3" w:rsidRDefault="00AA5C6B" w:rsidP="00AA5C6B">
            <w:pPr>
              <w:widowControl w:val="0"/>
              <w:autoSpaceDE w:val="0"/>
              <w:autoSpaceDN w:val="0"/>
              <w:adjustRightInd w:val="0"/>
              <w:spacing w:before="0" w:after="0"/>
              <w:contextualSpacing/>
              <w:jc w:val="center"/>
            </w:pPr>
            <w:r w:rsidRPr="007C21F3">
              <w:t>-1.426***</w:t>
            </w:r>
          </w:p>
        </w:tc>
        <w:tc>
          <w:tcPr>
            <w:tcW w:w="0" w:type="auto"/>
            <w:tcBorders>
              <w:top w:val="nil"/>
              <w:left w:val="nil"/>
              <w:bottom w:val="nil"/>
              <w:right w:val="nil"/>
            </w:tcBorders>
          </w:tcPr>
          <w:p w14:paraId="2F59DFA2" w14:textId="77777777" w:rsidR="00AA5C6B" w:rsidRPr="007C21F3" w:rsidRDefault="00AA5C6B" w:rsidP="00AA5C6B">
            <w:pPr>
              <w:widowControl w:val="0"/>
              <w:autoSpaceDE w:val="0"/>
              <w:autoSpaceDN w:val="0"/>
              <w:adjustRightInd w:val="0"/>
              <w:spacing w:before="0" w:after="0"/>
              <w:contextualSpacing/>
              <w:jc w:val="center"/>
            </w:pPr>
            <w:r w:rsidRPr="007C21F3">
              <w:t>-1.426***</w:t>
            </w:r>
          </w:p>
        </w:tc>
        <w:tc>
          <w:tcPr>
            <w:tcW w:w="0" w:type="auto"/>
            <w:tcBorders>
              <w:top w:val="nil"/>
              <w:left w:val="nil"/>
              <w:bottom w:val="nil"/>
              <w:right w:val="nil"/>
            </w:tcBorders>
          </w:tcPr>
          <w:p w14:paraId="25E52784" w14:textId="77777777" w:rsidR="00AA5C6B" w:rsidRPr="007C21F3" w:rsidRDefault="00AA5C6B" w:rsidP="00AA5C6B">
            <w:pPr>
              <w:widowControl w:val="0"/>
              <w:autoSpaceDE w:val="0"/>
              <w:autoSpaceDN w:val="0"/>
              <w:adjustRightInd w:val="0"/>
              <w:spacing w:before="0" w:after="0"/>
              <w:contextualSpacing/>
              <w:jc w:val="center"/>
            </w:pPr>
            <w:r w:rsidRPr="007C21F3">
              <w:t>-0.412***</w:t>
            </w:r>
          </w:p>
        </w:tc>
      </w:tr>
      <w:tr w:rsidR="00AA5C6B" w:rsidRPr="00066FD9" w14:paraId="27E4954A" w14:textId="77777777" w:rsidTr="00FE27B1">
        <w:trPr>
          <w:jc w:val="center"/>
        </w:trPr>
        <w:tc>
          <w:tcPr>
            <w:tcW w:w="0" w:type="auto"/>
            <w:tcBorders>
              <w:top w:val="nil"/>
              <w:left w:val="nil"/>
              <w:bottom w:val="nil"/>
              <w:right w:val="nil"/>
            </w:tcBorders>
          </w:tcPr>
          <w:p w14:paraId="502D5845" w14:textId="77777777" w:rsidR="00AA5C6B" w:rsidRPr="004B3AE7" w:rsidRDefault="00AA5C6B" w:rsidP="00AA5C6B">
            <w:pPr>
              <w:widowControl w:val="0"/>
              <w:autoSpaceDE w:val="0"/>
              <w:autoSpaceDN w:val="0"/>
              <w:adjustRightInd w:val="0"/>
              <w:spacing w:before="0" w:after="0"/>
              <w:contextualSpacing/>
            </w:pPr>
          </w:p>
        </w:tc>
        <w:tc>
          <w:tcPr>
            <w:tcW w:w="1130" w:type="dxa"/>
            <w:tcBorders>
              <w:top w:val="nil"/>
              <w:left w:val="nil"/>
              <w:bottom w:val="nil"/>
              <w:right w:val="nil"/>
            </w:tcBorders>
          </w:tcPr>
          <w:p w14:paraId="76A03065" w14:textId="77777777" w:rsidR="00AA5C6B" w:rsidRPr="007C21F3" w:rsidRDefault="00AA5C6B" w:rsidP="00AA5C6B">
            <w:pPr>
              <w:widowControl w:val="0"/>
              <w:autoSpaceDE w:val="0"/>
              <w:autoSpaceDN w:val="0"/>
              <w:adjustRightInd w:val="0"/>
              <w:spacing w:before="0" w:after="0"/>
              <w:contextualSpacing/>
              <w:jc w:val="center"/>
            </w:pPr>
            <w:r w:rsidRPr="007C21F3">
              <w:t>(0.103)</w:t>
            </w:r>
          </w:p>
        </w:tc>
        <w:tc>
          <w:tcPr>
            <w:tcW w:w="1130" w:type="dxa"/>
            <w:tcBorders>
              <w:top w:val="nil"/>
              <w:left w:val="nil"/>
              <w:bottom w:val="nil"/>
              <w:right w:val="nil"/>
            </w:tcBorders>
          </w:tcPr>
          <w:p w14:paraId="7A6D9104" w14:textId="77777777" w:rsidR="00AA5C6B" w:rsidRPr="007C21F3" w:rsidRDefault="00AA5C6B" w:rsidP="00AA5C6B">
            <w:pPr>
              <w:widowControl w:val="0"/>
              <w:autoSpaceDE w:val="0"/>
              <w:autoSpaceDN w:val="0"/>
              <w:adjustRightInd w:val="0"/>
              <w:spacing w:before="0" w:after="0"/>
              <w:contextualSpacing/>
              <w:jc w:val="center"/>
            </w:pPr>
            <w:r w:rsidRPr="007C21F3">
              <w:t>(0.104)</w:t>
            </w:r>
          </w:p>
        </w:tc>
        <w:tc>
          <w:tcPr>
            <w:tcW w:w="1130" w:type="dxa"/>
            <w:tcBorders>
              <w:top w:val="nil"/>
              <w:left w:val="nil"/>
              <w:bottom w:val="nil"/>
              <w:right w:val="nil"/>
            </w:tcBorders>
          </w:tcPr>
          <w:p w14:paraId="5861503F" w14:textId="77777777" w:rsidR="00AA5C6B" w:rsidRPr="007C21F3" w:rsidRDefault="00AA5C6B" w:rsidP="00AA5C6B">
            <w:pPr>
              <w:widowControl w:val="0"/>
              <w:autoSpaceDE w:val="0"/>
              <w:autoSpaceDN w:val="0"/>
              <w:adjustRightInd w:val="0"/>
              <w:spacing w:before="0" w:after="0"/>
              <w:contextualSpacing/>
              <w:jc w:val="center"/>
            </w:pPr>
            <w:r w:rsidRPr="007C21F3">
              <w:t>(0.0576)</w:t>
            </w:r>
          </w:p>
        </w:tc>
        <w:tc>
          <w:tcPr>
            <w:tcW w:w="0" w:type="auto"/>
            <w:tcBorders>
              <w:top w:val="nil"/>
              <w:left w:val="nil"/>
              <w:bottom w:val="nil"/>
              <w:right w:val="nil"/>
            </w:tcBorders>
          </w:tcPr>
          <w:p w14:paraId="28505C3A" w14:textId="77777777" w:rsidR="00AA5C6B" w:rsidRPr="007C21F3" w:rsidRDefault="00AA5C6B" w:rsidP="00AA5C6B">
            <w:pPr>
              <w:widowControl w:val="0"/>
              <w:autoSpaceDE w:val="0"/>
              <w:autoSpaceDN w:val="0"/>
              <w:adjustRightInd w:val="0"/>
              <w:spacing w:before="0" w:after="0"/>
              <w:contextualSpacing/>
              <w:jc w:val="center"/>
            </w:pPr>
            <w:r w:rsidRPr="007C21F3">
              <w:t>(0.187)</w:t>
            </w:r>
          </w:p>
        </w:tc>
        <w:tc>
          <w:tcPr>
            <w:tcW w:w="0" w:type="auto"/>
            <w:tcBorders>
              <w:top w:val="nil"/>
              <w:left w:val="nil"/>
              <w:bottom w:val="nil"/>
              <w:right w:val="nil"/>
            </w:tcBorders>
          </w:tcPr>
          <w:p w14:paraId="2DEEE0A8" w14:textId="77777777" w:rsidR="00AA5C6B" w:rsidRPr="007C21F3" w:rsidRDefault="00AA5C6B" w:rsidP="00AA5C6B">
            <w:pPr>
              <w:widowControl w:val="0"/>
              <w:autoSpaceDE w:val="0"/>
              <w:autoSpaceDN w:val="0"/>
              <w:adjustRightInd w:val="0"/>
              <w:spacing w:before="0" w:after="0"/>
              <w:contextualSpacing/>
              <w:jc w:val="center"/>
            </w:pPr>
            <w:r w:rsidRPr="007C21F3">
              <w:t>(0.193)</w:t>
            </w:r>
          </w:p>
        </w:tc>
        <w:tc>
          <w:tcPr>
            <w:tcW w:w="0" w:type="auto"/>
            <w:tcBorders>
              <w:top w:val="nil"/>
              <w:left w:val="nil"/>
              <w:bottom w:val="nil"/>
              <w:right w:val="nil"/>
            </w:tcBorders>
          </w:tcPr>
          <w:p w14:paraId="402D60BA" w14:textId="77777777" w:rsidR="00AA5C6B" w:rsidRPr="007C21F3" w:rsidRDefault="00AA5C6B" w:rsidP="00AA5C6B">
            <w:pPr>
              <w:widowControl w:val="0"/>
              <w:autoSpaceDE w:val="0"/>
              <w:autoSpaceDN w:val="0"/>
              <w:adjustRightInd w:val="0"/>
              <w:spacing w:before="0" w:after="0"/>
              <w:contextualSpacing/>
              <w:jc w:val="center"/>
            </w:pPr>
            <w:r w:rsidRPr="007C21F3">
              <w:t>(0.114)</w:t>
            </w:r>
          </w:p>
        </w:tc>
      </w:tr>
      <w:tr w:rsidR="00AA5C6B" w:rsidRPr="00066FD9" w14:paraId="2511E279" w14:textId="77777777" w:rsidTr="00FE27B1">
        <w:trPr>
          <w:jc w:val="center"/>
        </w:trPr>
        <w:tc>
          <w:tcPr>
            <w:tcW w:w="0" w:type="auto"/>
            <w:tcBorders>
              <w:top w:val="nil"/>
              <w:left w:val="nil"/>
              <w:bottom w:val="nil"/>
              <w:right w:val="nil"/>
            </w:tcBorders>
          </w:tcPr>
          <w:p w14:paraId="074009EF" w14:textId="635597AA" w:rsidR="00AA5C6B" w:rsidRPr="007C21F3" w:rsidRDefault="00FE27B1" w:rsidP="00AA5C6B">
            <w:pPr>
              <w:widowControl w:val="0"/>
              <w:autoSpaceDE w:val="0"/>
              <w:autoSpaceDN w:val="0"/>
              <w:adjustRightInd w:val="0"/>
              <w:spacing w:before="0" w:after="0"/>
              <w:contextualSpacing/>
            </w:pPr>
            <w:r w:rsidRPr="007C21F3">
              <w:t>Treatment</w:t>
            </w:r>
            <w:r w:rsidR="00144E21">
              <w:t xml:space="preserve"> </w:t>
            </w:r>
            <w:r w:rsidR="00AA5C6B" w:rsidRPr="007C21F3">
              <w:t>X Owner</w:t>
            </w:r>
          </w:p>
        </w:tc>
        <w:tc>
          <w:tcPr>
            <w:tcW w:w="1130" w:type="dxa"/>
            <w:tcBorders>
              <w:top w:val="nil"/>
              <w:left w:val="nil"/>
              <w:bottom w:val="nil"/>
              <w:right w:val="nil"/>
            </w:tcBorders>
          </w:tcPr>
          <w:p w14:paraId="3EC9C554" w14:textId="77777777" w:rsidR="00AA5C6B" w:rsidRPr="007C21F3" w:rsidRDefault="00AA5C6B" w:rsidP="00AA5C6B">
            <w:pPr>
              <w:widowControl w:val="0"/>
              <w:autoSpaceDE w:val="0"/>
              <w:autoSpaceDN w:val="0"/>
              <w:adjustRightInd w:val="0"/>
              <w:spacing w:before="0" w:after="0"/>
              <w:contextualSpacing/>
              <w:jc w:val="center"/>
            </w:pPr>
            <w:r w:rsidRPr="007C21F3">
              <w:t>-0.174*</w:t>
            </w:r>
          </w:p>
        </w:tc>
        <w:tc>
          <w:tcPr>
            <w:tcW w:w="1130" w:type="dxa"/>
            <w:tcBorders>
              <w:top w:val="nil"/>
              <w:left w:val="nil"/>
              <w:bottom w:val="nil"/>
              <w:right w:val="nil"/>
            </w:tcBorders>
          </w:tcPr>
          <w:p w14:paraId="5DA4077F" w14:textId="77777777" w:rsidR="00AA5C6B" w:rsidRPr="007C21F3" w:rsidRDefault="00AA5C6B" w:rsidP="00AA5C6B">
            <w:pPr>
              <w:widowControl w:val="0"/>
              <w:autoSpaceDE w:val="0"/>
              <w:autoSpaceDN w:val="0"/>
              <w:adjustRightInd w:val="0"/>
              <w:spacing w:before="0" w:after="0"/>
              <w:contextualSpacing/>
              <w:jc w:val="center"/>
            </w:pPr>
            <w:r w:rsidRPr="007C21F3">
              <w:t>-0.174*</w:t>
            </w:r>
          </w:p>
        </w:tc>
        <w:tc>
          <w:tcPr>
            <w:tcW w:w="1130" w:type="dxa"/>
            <w:tcBorders>
              <w:top w:val="nil"/>
              <w:left w:val="nil"/>
              <w:bottom w:val="nil"/>
              <w:right w:val="nil"/>
            </w:tcBorders>
          </w:tcPr>
          <w:p w14:paraId="78C0871F" w14:textId="77777777" w:rsidR="00AA5C6B" w:rsidRPr="007C21F3" w:rsidRDefault="00AA5C6B" w:rsidP="00AA5C6B">
            <w:pPr>
              <w:widowControl w:val="0"/>
              <w:autoSpaceDE w:val="0"/>
              <w:autoSpaceDN w:val="0"/>
              <w:adjustRightInd w:val="0"/>
              <w:spacing w:before="0" w:after="0"/>
              <w:contextualSpacing/>
              <w:jc w:val="center"/>
            </w:pPr>
            <w:r w:rsidRPr="007C21F3">
              <w:t>-0.344***</w:t>
            </w:r>
          </w:p>
        </w:tc>
        <w:tc>
          <w:tcPr>
            <w:tcW w:w="0" w:type="auto"/>
            <w:tcBorders>
              <w:top w:val="nil"/>
              <w:left w:val="nil"/>
              <w:bottom w:val="nil"/>
              <w:right w:val="nil"/>
            </w:tcBorders>
          </w:tcPr>
          <w:p w14:paraId="0D0CB75C" w14:textId="77777777" w:rsidR="00AA5C6B" w:rsidRPr="007C21F3" w:rsidRDefault="00AA5C6B" w:rsidP="00AA5C6B">
            <w:pPr>
              <w:widowControl w:val="0"/>
              <w:autoSpaceDE w:val="0"/>
              <w:autoSpaceDN w:val="0"/>
              <w:adjustRightInd w:val="0"/>
              <w:spacing w:before="0" w:after="0"/>
              <w:contextualSpacing/>
              <w:jc w:val="center"/>
            </w:pPr>
            <w:r w:rsidRPr="007C21F3">
              <w:t>-0.113</w:t>
            </w:r>
          </w:p>
        </w:tc>
        <w:tc>
          <w:tcPr>
            <w:tcW w:w="0" w:type="auto"/>
            <w:tcBorders>
              <w:top w:val="nil"/>
              <w:left w:val="nil"/>
              <w:bottom w:val="nil"/>
              <w:right w:val="nil"/>
            </w:tcBorders>
          </w:tcPr>
          <w:p w14:paraId="3BE30B14" w14:textId="77777777" w:rsidR="00AA5C6B" w:rsidRPr="007C21F3" w:rsidRDefault="00AA5C6B" w:rsidP="00AA5C6B">
            <w:pPr>
              <w:widowControl w:val="0"/>
              <w:autoSpaceDE w:val="0"/>
              <w:autoSpaceDN w:val="0"/>
              <w:adjustRightInd w:val="0"/>
              <w:spacing w:before="0" w:after="0"/>
              <w:contextualSpacing/>
              <w:jc w:val="center"/>
            </w:pPr>
            <w:r w:rsidRPr="007C21F3">
              <w:t>-0.113</w:t>
            </w:r>
          </w:p>
        </w:tc>
        <w:tc>
          <w:tcPr>
            <w:tcW w:w="0" w:type="auto"/>
            <w:tcBorders>
              <w:top w:val="nil"/>
              <w:left w:val="nil"/>
              <w:bottom w:val="nil"/>
              <w:right w:val="nil"/>
            </w:tcBorders>
          </w:tcPr>
          <w:p w14:paraId="102CE31F" w14:textId="77777777" w:rsidR="00AA5C6B" w:rsidRPr="007C21F3" w:rsidRDefault="00AA5C6B" w:rsidP="00AA5C6B">
            <w:pPr>
              <w:widowControl w:val="0"/>
              <w:autoSpaceDE w:val="0"/>
              <w:autoSpaceDN w:val="0"/>
              <w:adjustRightInd w:val="0"/>
              <w:spacing w:before="0" w:after="0"/>
              <w:contextualSpacing/>
              <w:jc w:val="center"/>
            </w:pPr>
            <w:r w:rsidRPr="007C21F3">
              <w:t>-0.523***</w:t>
            </w:r>
          </w:p>
        </w:tc>
      </w:tr>
      <w:tr w:rsidR="00AA5C6B" w:rsidRPr="00066FD9" w14:paraId="3934FA7C" w14:textId="77777777" w:rsidTr="00FE27B1">
        <w:trPr>
          <w:jc w:val="center"/>
        </w:trPr>
        <w:tc>
          <w:tcPr>
            <w:tcW w:w="0" w:type="auto"/>
            <w:tcBorders>
              <w:top w:val="nil"/>
              <w:left w:val="nil"/>
              <w:bottom w:val="nil"/>
              <w:right w:val="nil"/>
            </w:tcBorders>
          </w:tcPr>
          <w:p w14:paraId="3A29F700" w14:textId="77777777" w:rsidR="00AA5C6B" w:rsidRPr="007C21F3" w:rsidRDefault="00AA5C6B" w:rsidP="00AA5C6B">
            <w:pPr>
              <w:widowControl w:val="0"/>
              <w:autoSpaceDE w:val="0"/>
              <w:autoSpaceDN w:val="0"/>
              <w:adjustRightInd w:val="0"/>
              <w:spacing w:before="0" w:after="0"/>
              <w:contextualSpacing/>
            </w:pPr>
          </w:p>
        </w:tc>
        <w:tc>
          <w:tcPr>
            <w:tcW w:w="1130" w:type="dxa"/>
            <w:tcBorders>
              <w:top w:val="nil"/>
              <w:left w:val="nil"/>
              <w:bottom w:val="nil"/>
              <w:right w:val="nil"/>
            </w:tcBorders>
          </w:tcPr>
          <w:p w14:paraId="76F599EE" w14:textId="77777777" w:rsidR="00AA5C6B" w:rsidRPr="007C21F3" w:rsidRDefault="00AA5C6B" w:rsidP="00AA5C6B">
            <w:pPr>
              <w:widowControl w:val="0"/>
              <w:autoSpaceDE w:val="0"/>
              <w:autoSpaceDN w:val="0"/>
              <w:adjustRightInd w:val="0"/>
              <w:spacing w:before="0" w:after="0"/>
              <w:contextualSpacing/>
              <w:jc w:val="center"/>
            </w:pPr>
            <w:r w:rsidRPr="007C21F3">
              <w:t>(0.0949)</w:t>
            </w:r>
          </w:p>
        </w:tc>
        <w:tc>
          <w:tcPr>
            <w:tcW w:w="1130" w:type="dxa"/>
            <w:tcBorders>
              <w:top w:val="nil"/>
              <w:left w:val="nil"/>
              <w:bottom w:val="nil"/>
              <w:right w:val="nil"/>
            </w:tcBorders>
          </w:tcPr>
          <w:p w14:paraId="471F44FC" w14:textId="77777777" w:rsidR="00AA5C6B" w:rsidRPr="007C21F3" w:rsidRDefault="00AA5C6B" w:rsidP="00AA5C6B">
            <w:pPr>
              <w:widowControl w:val="0"/>
              <w:autoSpaceDE w:val="0"/>
              <w:autoSpaceDN w:val="0"/>
              <w:adjustRightInd w:val="0"/>
              <w:spacing w:before="0" w:after="0"/>
              <w:contextualSpacing/>
              <w:jc w:val="center"/>
            </w:pPr>
            <w:r w:rsidRPr="007C21F3">
              <w:t>(0.0965)</w:t>
            </w:r>
          </w:p>
        </w:tc>
        <w:tc>
          <w:tcPr>
            <w:tcW w:w="1130" w:type="dxa"/>
            <w:tcBorders>
              <w:top w:val="nil"/>
              <w:left w:val="nil"/>
              <w:bottom w:val="nil"/>
              <w:right w:val="nil"/>
            </w:tcBorders>
          </w:tcPr>
          <w:p w14:paraId="15A64566" w14:textId="77777777" w:rsidR="00AA5C6B" w:rsidRPr="007C21F3" w:rsidRDefault="00AA5C6B" w:rsidP="00AA5C6B">
            <w:pPr>
              <w:widowControl w:val="0"/>
              <w:autoSpaceDE w:val="0"/>
              <w:autoSpaceDN w:val="0"/>
              <w:adjustRightInd w:val="0"/>
              <w:spacing w:before="0" w:after="0"/>
              <w:contextualSpacing/>
              <w:jc w:val="center"/>
            </w:pPr>
            <w:r w:rsidRPr="007C21F3">
              <w:t>(0.0656)</w:t>
            </w:r>
          </w:p>
        </w:tc>
        <w:tc>
          <w:tcPr>
            <w:tcW w:w="0" w:type="auto"/>
            <w:tcBorders>
              <w:top w:val="nil"/>
              <w:left w:val="nil"/>
              <w:bottom w:val="nil"/>
              <w:right w:val="nil"/>
            </w:tcBorders>
          </w:tcPr>
          <w:p w14:paraId="26C12955" w14:textId="77777777" w:rsidR="00AA5C6B" w:rsidRPr="007C21F3" w:rsidRDefault="00AA5C6B" w:rsidP="00AA5C6B">
            <w:pPr>
              <w:widowControl w:val="0"/>
              <w:autoSpaceDE w:val="0"/>
              <w:autoSpaceDN w:val="0"/>
              <w:adjustRightInd w:val="0"/>
              <w:spacing w:before="0" w:after="0"/>
              <w:contextualSpacing/>
              <w:jc w:val="center"/>
            </w:pPr>
            <w:r w:rsidRPr="007C21F3">
              <w:t>(0.200)</w:t>
            </w:r>
          </w:p>
        </w:tc>
        <w:tc>
          <w:tcPr>
            <w:tcW w:w="0" w:type="auto"/>
            <w:tcBorders>
              <w:top w:val="nil"/>
              <w:left w:val="nil"/>
              <w:bottom w:val="nil"/>
              <w:right w:val="nil"/>
            </w:tcBorders>
          </w:tcPr>
          <w:p w14:paraId="5B5B5C19" w14:textId="77777777" w:rsidR="00AA5C6B" w:rsidRPr="007C21F3" w:rsidRDefault="00AA5C6B" w:rsidP="00AA5C6B">
            <w:pPr>
              <w:widowControl w:val="0"/>
              <w:autoSpaceDE w:val="0"/>
              <w:autoSpaceDN w:val="0"/>
              <w:adjustRightInd w:val="0"/>
              <w:spacing w:before="0" w:after="0"/>
              <w:contextualSpacing/>
              <w:jc w:val="center"/>
            </w:pPr>
            <w:r w:rsidRPr="007C21F3">
              <w:t>(0.206)</w:t>
            </w:r>
          </w:p>
        </w:tc>
        <w:tc>
          <w:tcPr>
            <w:tcW w:w="0" w:type="auto"/>
            <w:tcBorders>
              <w:top w:val="nil"/>
              <w:left w:val="nil"/>
              <w:bottom w:val="nil"/>
              <w:right w:val="nil"/>
            </w:tcBorders>
          </w:tcPr>
          <w:p w14:paraId="5AE90A17" w14:textId="77777777" w:rsidR="00AA5C6B" w:rsidRPr="007C21F3" w:rsidRDefault="00AA5C6B" w:rsidP="00AA5C6B">
            <w:pPr>
              <w:widowControl w:val="0"/>
              <w:autoSpaceDE w:val="0"/>
              <w:autoSpaceDN w:val="0"/>
              <w:adjustRightInd w:val="0"/>
              <w:spacing w:before="0" w:after="0"/>
              <w:contextualSpacing/>
              <w:jc w:val="center"/>
            </w:pPr>
            <w:r w:rsidRPr="007C21F3">
              <w:t>(0.139)</w:t>
            </w:r>
          </w:p>
        </w:tc>
      </w:tr>
      <w:tr w:rsidR="00AA5C6B" w:rsidRPr="00066FD9" w14:paraId="66C0CC7E" w14:textId="77777777" w:rsidTr="00FE27B1">
        <w:trPr>
          <w:jc w:val="center"/>
        </w:trPr>
        <w:tc>
          <w:tcPr>
            <w:tcW w:w="0" w:type="auto"/>
            <w:tcBorders>
              <w:top w:val="nil"/>
              <w:left w:val="nil"/>
              <w:bottom w:val="nil"/>
              <w:right w:val="nil"/>
            </w:tcBorders>
          </w:tcPr>
          <w:p w14:paraId="407A30A0" w14:textId="675A191C" w:rsidR="00AA5C6B" w:rsidRPr="00066FD9" w:rsidRDefault="00FE27B1" w:rsidP="00AA5C6B">
            <w:pPr>
              <w:widowControl w:val="0"/>
              <w:autoSpaceDE w:val="0"/>
              <w:autoSpaceDN w:val="0"/>
              <w:adjustRightInd w:val="0"/>
              <w:spacing w:before="0" w:after="0"/>
              <w:contextualSpacing/>
            </w:pPr>
            <w:r>
              <w:t>Treatment</w:t>
            </w:r>
          </w:p>
        </w:tc>
        <w:tc>
          <w:tcPr>
            <w:tcW w:w="1130" w:type="dxa"/>
            <w:tcBorders>
              <w:top w:val="nil"/>
              <w:left w:val="nil"/>
              <w:bottom w:val="nil"/>
              <w:right w:val="nil"/>
            </w:tcBorders>
          </w:tcPr>
          <w:p w14:paraId="2AA85234" w14:textId="77777777" w:rsidR="00AA5C6B" w:rsidRDefault="00AA5C6B" w:rsidP="00AA5C6B">
            <w:pPr>
              <w:widowControl w:val="0"/>
              <w:autoSpaceDE w:val="0"/>
              <w:autoSpaceDN w:val="0"/>
              <w:adjustRightInd w:val="0"/>
              <w:spacing w:before="0" w:after="0"/>
              <w:contextualSpacing/>
              <w:jc w:val="center"/>
            </w:pPr>
            <w:r>
              <w:t>0.836***</w:t>
            </w:r>
          </w:p>
        </w:tc>
        <w:tc>
          <w:tcPr>
            <w:tcW w:w="1130" w:type="dxa"/>
            <w:tcBorders>
              <w:top w:val="nil"/>
              <w:left w:val="nil"/>
              <w:bottom w:val="nil"/>
              <w:right w:val="nil"/>
            </w:tcBorders>
          </w:tcPr>
          <w:p w14:paraId="166653D5" w14:textId="77777777" w:rsidR="00AA5C6B" w:rsidRDefault="00AA5C6B" w:rsidP="00AA5C6B">
            <w:pPr>
              <w:widowControl w:val="0"/>
              <w:autoSpaceDE w:val="0"/>
              <w:autoSpaceDN w:val="0"/>
              <w:adjustRightInd w:val="0"/>
              <w:spacing w:before="0" w:after="0"/>
              <w:contextualSpacing/>
              <w:jc w:val="center"/>
            </w:pPr>
            <w:r>
              <w:t>1.109***</w:t>
            </w:r>
          </w:p>
        </w:tc>
        <w:tc>
          <w:tcPr>
            <w:tcW w:w="1130" w:type="dxa"/>
            <w:tcBorders>
              <w:top w:val="nil"/>
              <w:left w:val="nil"/>
              <w:bottom w:val="nil"/>
              <w:right w:val="nil"/>
            </w:tcBorders>
          </w:tcPr>
          <w:p w14:paraId="6EAADC08" w14:textId="77777777" w:rsidR="00AA5C6B" w:rsidRDefault="00AA5C6B" w:rsidP="00AA5C6B">
            <w:pPr>
              <w:widowControl w:val="0"/>
              <w:autoSpaceDE w:val="0"/>
              <w:autoSpaceDN w:val="0"/>
              <w:adjustRightInd w:val="0"/>
              <w:spacing w:before="0" w:after="0"/>
              <w:contextualSpacing/>
              <w:jc w:val="center"/>
            </w:pPr>
            <w:r>
              <w:t>0.0523</w:t>
            </w:r>
          </w:p>
        </w:tc>
        <w:tc>
          <w:tcPr>
            <w:tcW w:w="0" w:type="auto"/>
            <w:tcBorders>
              <w:top w:val="nil"/>
              <w:left w:val="nil"/>
              <w:bottom w:val="nil"/>
              <w:right w:val="nil"/>
            </w:tcBorders>
          </w:tcPr>
          <w:p w14:paraId="2BC80DF4" w14:textId="77777777" w:rsidR="00AA5C6B" w:rsidRDefault="00AA5C6B" w:rsidP="00AA5C6B">
            <w:pPr>
              <w:widowControl w:val="0"/>
              <w:autoSpaceDE w:val="0"/>
              <w:autoSpaceDN w:val="0"/>
              <w:adjustRightInd w:val="0"/>
              <w:spacing w:before="0" w:after="0"/>
              <w:contextualSpacing/>
              <w:jc w:val="center"/>
            </w:pPr>
            <w:r>
              <w:t>1.513***</w:t>
            </w:r>
          </w:p>
        </w:tc>
        <w:tc>
          <w:tcPr>
            <w:tcW w:w="0" w:type="auto"/>
            <w:tcBorders>
              <w:top w:val="nil"/>
              <w:left w:val="nil"/>
              <w:bottom w:val="nil"/>
              <w:right w:val="nil"/>
            </w:tcBorders>
          </w:tcPr>
          <w:p w14:paraId="34CC049C" w14:textId="77777777" w:rsidR="00AA5C6B" w:rsidRDefault="00AA5C6B" w:rsidP="00AA5C6B">
            <w:pPr>
              <w:widowControl w:val="0"/>
              <w:autoSpaceDE w:val="0"/>
              <w:autoSpaceDN w:val="0"/>
              <w:adjustRightInd w:val="0"/>
              <w:spacing w:before="0" w:after="0"/>
              <w:contextualSpacing/>
              <w:jc w:val="center"/>
            </w:pPr>
            <w:r>
              <w:t>1.258***</w:t>
            </w:r>
          </w:p>
        </w:tc>
        <w:tc>
          <w:tcPr>
            <w:tcW w:w="0" w:type="auto"/>
            <w:tcBorders>
              <w:top w:val="nil"/>
              <w:left w:val="nil"/>
              <w:bottom w:val="nil"/>
              <w:right w:val="nil"/>
            </w:tcBorders>
          </w:tcPr>
          <w:p w14:paraId="11D9ACA4" w14:textId="77777777" w:rsidR="00AA5C6B" w:rsidRDefault="00AA5C6B" w:rsidP="00AA5C6B">
            <w:pPr>
              <w:widowControl w:val="0"/>
              <w:autoSpaceDE w:val="0"/>
              <w:autoSpaceDN w:val="0"/>
              <w:adjustRightInd w:val="0"/>
              <w:spacing w:before="0" w:after="0"/>
              <w:contextualSpacing/>
              <w:jc w:val="center"/>
            </w:pPr>
            <w:r>
              <w:t>0.871***</w:t>
            </w:r>
          </w:p>
        </w:tc>
      </w:tr>
      <w:tr w:rsidR="00AA5C6B" w:rsidRPr="00066FD9" w14:paraId="34BCAAF6" w14:textId="77777777" w:rsidTr="00FE27B1">
        <w:trPr>
          <w:jc w:val="center"/>
        </w:trPr>
        <w:tc>
          <w:tcPr>
            <w:tcW w:w="0" w:type="auto"/>
            <w:tcBorders>
              <w:top w:val="nil"/>
              <w:left w:val="nil"/>
              <w:bottom w:val="nil"/>
              <w:right w:val="nil"/>
            </w:tcBorders>
          </w:tcPr>
          <w:p w14:paraId="0D71F177" w14:textId="77777777" w:rsidR="00AA5C6B" w:rsidRPr="00066FD9" w:rsidRDefault="00AA5C6B" w:rsidP="00AA5C6B">
            <w:pPr>
              <w:widowControl w:val="0"/>
              <w:autoSpaceDE w:val="0"/>
              <w:autoSpaceDN w:val="0"/>
              <w:adjustRightInd w:val="0"/>
              <w:spacing w:before="0" w:after="0"/>
              <w:contextualSpacing/>
            </w:pPr>
          </w:p>
        </w:tc>
        <w:tc>
          <w:tcPr>
            <w:tcW w:w="1130" w:type="dxa"/>
            <w:tcBorders>
              <w:top w:val="nil"/>
              <w:left w:val="nil"/>
              <w:bottom w:val="nil"/>
              <w:right w:val="nil"/>
            </w:tcBorders>
          </w:tcPr>
          <w:p w14:paraId="67492716" w14:textId="77777777" w:rsidR="00AA5C6B" w:rsidRDefault="00AA5C6B" w:rsidP="00AA5C6B">
            <w:pPr>
              <w:widowControl w:val="0"/>
              <w:autoSpaceDE w:val="0"/>
              <w:autoSpaceDN w:val="0"/>
              <w:adjustRightInd w:val="0"/>
              <w:spacing w:before="0" w:after="0"/>
              <w:contextualSpacing/>
              <w:jc w:val="center"/>
            </w:pPr>
            <w:r>
              <w:t>(0.101)</w:t>
            </w:r>
          </w:p>
        </w:tc>
        <w:tc>
          <w:tcPr>
            <w:tcW w:w="1130" w:type="dxa"/>
            <w:tcBorders>
              <w:top w:val="nil"/>
              <w:left w:val="nil"/>
              <w:bottom w:val="nil"/>
              <w:right w:val="nil"/>
            </w:tcBorders>
          </w:tcPr>
          <w:p w14:paraId="7C6D746B" w14:textId="77777777" w:rsidR="00AA5C6B" w:rsidRDefault="00AA5C6B" w:rsidP="00AA5C6B">
            <w:pPr>
              <w:widowControl w:val="0"/>
              <w:autoSpaceDE w:val="0"/>
              <w:autoSpaceDN w:val="0"/>
              <w:adjustRightInd w:val="0"/>
              <w:spacing w:before="0" w:after="0"/>
              <w:contextualSpacing/>
              <w:jc w:val="center"/>
            </w:pPr>
            <w:r>
              <w:t>(0.138)</w:t>
            </w:r>
          </w:p>
        </w:tc>
        <w:tc>
          <w:tcPr>
            <w:tcW w:w="1130" w:type="dxa"/>
            <w:tcBorders>
              <w:top w:val="nil"/>
              <w:left w:val="nil"/>
              <w:bottom w:val="nil"/>
              <w:right w:val="nil"/>
            </w:tcBorders>
          </w:tcPr>
          <w:p w14:paraId="0E182FA0" w14:textId="77777777" w:rsidR="00AA5C6B" w:rsidRDefault="00AA5C6B" w:rsidP="00AA5C6B">
            <w:pPr>
              <w:widowControl w:val="0"/>
              <w:autoSpaceDE w:val="0"/>
              <w:autoSpaceDN w:val="0"/>
              <w:adjustRightInd w:val="0"/>
              <w:spacing w:before="0" w:after="0"/>
              <w:contextualSpacing/>
              <w:jc w:val="center"/>
            </w:pPr>
            <w:r>
              <w:t>(0.354)</w:t>
            </w:r>
          </w:p>
        </w:tc>
        <w:tc>
          <w:tcPr>
            <w:tcW w:w="0" w:type="auto"/>
            <w:tcBorders>
              <w:top w:val="nil"/>
              <w:left w:val="nil"/>
              <w:bottom w:val="nil"/>
              <w:right w:val="nil"/>
            </w:tcBorders>
          </w:tcPr>
          <w:p w14:paraId="50E7BF40" w14:textId="77777777" w:rsidR="00AA5C6B" w:rsidRDefault="00AA5C6B" w:rsidP="00AA5C6B">
            <w:pPr>
              <w:widowControl w:val="0"/>
              <w:autoSpaceDE w:val="0"/>
              <w:autoSpaceDN w:val="0"/>
              <w:adjustRightInd w:val="0"/>
              <w:spacing w:before="0" w:after="0"/>
              <w:contextualSpacing/>
              <w:jc w:val="center"/>
            </w:pPr>
            <w:r>
              <w:t>(0.211)</w:t>
            </w:r>
          </w:p>
        </w:tc>
        <w:tc>
          <w:tcPr>
            <w:tcW w:w="0" w:type="auto"/>
            <w:tcBorders>
              <w:top w:val="nil"/>
              <w:left w:val="nil"/>
              <w:bottom w:val="nil"/>
              <w:right w:val="nil"/>
            </w:tcBorders>
          </w:tcPr>
          <w:p w14:paraId="65A0E7F1" w14:textId="77777777" w:rsidR="00AA5C6B" w:rsidRDefault="00AA5C6B" w:rsidP="00AA5C6B">
            <w:pPr>
              <w:widowControl w:val="0"/>
              <w:autoSpaceDE w:val="0"/>
              <w:autoSpaceDN w:val="0"/>
              <w:adjustRightInd w:val="0"/>
              <w:spacing w:before="0" w:after="0"/>
              <w:contextualSpacing/>
              <w:jc w:val="center"/>
            </w:pPr>
            <w:r>
              <w:t>(0.167)</w:t>
            </w:r>
          </w:p>
        </w:tc>
        <w:tc>
          <w:tcPr>
            <w:tcW w:w="0" w:type="auto"/>
            <w:tcBorders>
              <w:top w:val="nil"/>
              <w:left w:val="nil"/>
              <w:bottom w:val="nil"/>
              <w:right w:val="nil"/>
            </w:tcBorders>
          </w:tcPr>
          <w:p w14:paraId="68EF05C1" w14:textId="77777777" w:rsidR="00AA5C6B" w:rsidRDefault="00AA5C6B" w:rsidP="00AA5C6B">
            <w:pPr>
              <w:widowControl w:val="0"/>
              <w:autoSpaceDE w:val="0"/>
              <w:autoSpaceDN w:val="0"/>
              <w:adjustRightInd w:val="0"/>
              <w:spacing w:before="0" w:after="0"/>
              <w:contextualSpacing/>
              <w:jc w:val="center"/>
            </w:pPr>
            <w:r>
              <w:t>(0.129)</w:t>
            </w:r>
          </w:p>
        </w:tc>
      </w:tr>
      <w:tr w:rsidR="00DD74E1" w:rsidRPr="00066FD9" w14:paraId="70B11E54" w14:textId="77777777" w:rsidTr="00FE27B1">
        <w:trPr>
          <w:jc w:val="center"/>
        </w:trPr>
        <w:tc>
          <w:tcPr>
            <w:tcW w:w="0" w:type="auto"/>
            <w:tcBorders>
              <w:top w:val="nil"/>
              <w:left w:val="nil"/>
              <w:bottom w:val="nil"/>
              <w:right w:val="nil"/>
            </w:tcBorders>
          </w:tcPr>
          <w:p w14:paraId="6D5D94E7" w14:textId="77777777" w:rsidR="00DD74E1" w:rsidRDefault="00DD74E1" w:rsidP="006C213E">
            <w:pPr>
              <w:widowControl w:val="0"/>
              <w:autoSpaceDE w:val="0"/>
              <w:autoSpaceDN w:val="0"/>
              <w:adjustRightInd w:val="0"/>
              <w:spacing w:before="0" w:after="0"/>
              <w:contextualSpacing/>
            </w:pPr>
            <w:r>
              <w:t>Year FE</w:t>
            </w:r>
          </w:p>
        </w:tc>
        <w:tc>
          <w:tcPr>
            <w:tcW w:w="1130" w:type="dxa"/>
            <w:tcBorders>
              <w:top w:val="nil"/>
              <w:left w:val="nil"/>
              <w:bottom w:val="nil"/>
              <w:right w:val="nil"/>
            </w:tcBorders>
          </w:tcPr>
          <w:p w14:paraId="3A2657DB" w14:textId="77777777" w:rsidR="00DD74E1"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6C0542CC" w14:textId="77777777" w:rsidR="00DD74E1"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20E08EF0"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61D8465B"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4110019A"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1E1A440B" w14:textId="77777777" w:rsidR="00DD74E1" w:rsidRDefault="00DD74E1" w:rsidP="006C213E">
            <w:pPr>
              <w:widowControl w:val="0"/>
              <w:autoSpaceDE w:val="0"/>
              <w:autoSpaceDN w:val="0"/>
              <w:adjustRightInd w:val="0"/>
              <w:spacing w:before="0" w:after="0"/>
              <w:contextualSpacing/>
              <w:jc w:val="center"/>
            </w:pPr>
            <w:r>
              <w:t>Y</w:t>
            </w:r>
          </w:p>
        </w:tc>
      </w:tr>
      <w:tr w:rsidR="00DD74E1" w:rsidRPr="00066FD9" w14:paraId="67B43794" w14:textId="77777777" w:rsidTr="00FE27B1">
        <w:trPr>
          <w:jc w:val="center"/>
        </w:trPr>
        <w:tc>
          <w:tcPr>
            <w:tcW w:w="0" w:type="auto"/>
            <w:tcBorders>
              <w:top w:val="nil"/>
              <w:left w:val="nil"/>
              <w:bottom w:val="nil"/>
              <w:right w:val="nil"/>
            </w:tcBorders>
          </w:tcPr>
          <w:p w14:paraId="045E1166" w14:textId="77777777" w:rsidR="00DD74E1" w:rsidRPr="00066FD9" w:rsidRDefault="00DD74E1" w:rsidP="006C213E">
            <w:pPr>
              <w:widowControl w:val="0"/>
              <w:autoSpaceDE w:val="0"/>
              <w:autoSpaceDN w:val="0"/>
              <w:adjustRightInd w:val="0"/>
              <w:spacing w:before="0" w:after="0"/>
              <w:contextualSpacing/>
            </w:pPr>
            <w:r>
              <w:t>Year X Owner FE</w:t>
            </w:r>
          </w:p>
        </w:tc>
        <w:tc>
          <w:tcPr>
            <w:tcW w:w="1130" w:type="dxa"/>
            <w:tcBorders>
              <w:top w:val="nil"/>
              <w:left w:val="nil"/>
              <w:bottom w:val="nil"/>
              <w:right w:val="nil"/>
            </w:tcBorders>
          </w:tcPr>
          <w:p w14:paraId="27CE3991" w14:textId="77777777" w:rsidR="00DD74E1" w:rsidRPr="00066FD9"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2D833C67" w14:textId="77777777" w:rsidR="00DD74E1" w:rsidRPr="00066FD9"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1EB11542" w14:textId="77777777" w:rsidR="00DD74E1" w:rsidRPr="00066FD9"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0A8956A7" w14:textId="77777777" w:rsidR="00DD74E1" w:rsidRPr="00066FD9"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51CDF7B2" w14:textId="77777777" w:rsidR="00DD74E1" w:rsidRPr="00066FD9"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65A435E3" w14:textId="77777777" w:rsidR="00DD74E1" w:rsidRPr="00066FD9" w:rsidRDefault="00DD74E1" w:rsidP="006C213E">
            <w:pPr>
              <w:widowControl w:val="0"/>
              <w:autoSpaceDE w:val="0"/>
              <w:autoSpaceDN w:val="0"/>
              <w:adjustRightInd w:val="0"/>
              <w:spacing w:before="0" w:after="0"/>
              <w:contextualSpacing/>
              <w:jc w:val="center"/>
            </w:pPr>
            <w:r>
              <w:t>Y</w:t>
            </w:r>
          </w:p>
        </w:tc>
      </w:tr>
      <w:tr w:rsidR="00DD74E1" w:rsidRPr="00066FD9" w14:paraId="4A6D1AFA" w14:textId="77777777" w:rsidTr="00FE27B1">
        <w:trPr>
          <w:jc w:val="center"/>
        </w:trPr>
        <w:tc>
          <w:tcPr>
            <w:tcW w:w="0" w:type="auto"/>
            <w:tcBorders>
              <w:top w:val="nil"/>
              <w:left w:val="nil"/>
              <w:bottom w:val="nil"/>
              <w:right w:val="nil"/>
            </w:tcBorders>
          </w:tcPr>
          <w:p w14:paraId="07C51B1C" w14:textId="77777777" w:rsidR="00DD74E1" w:rsidRDefault="00DD74E1" w:rsidP="006C213E">
            <w:pPr>
              <w:widowControl w:val="0"/>
              <w:autoSpaceDE w:val="0"/>
              <w:autoSpaceDN w:val="0"/>
              <w:adjustRightInd w:val="0"/>
              <w:spacing w:before="0" w:after="0"/>
              <w:contextualSpacing/>
            </w:pPr>
            <w:r>
              <w:t>Year X Older FE</w:t>
            </w:r>
          </w:p>
        </w:tc>
        <w:tc>
          <w:tcPr>
            <w:tcW w:w="1130" w:type="dxa"/>
            <w:tcBorders>
              <w:top w:val="nil"/>
              <w:left w:val="nil"/>
              <w:bottom w:val="nil"/>
              <w:right w:val="nil"/>
            </w:tcBorders>
          </w:tcPr>
          <w:p w14:paraId="2FADBBB1" w14:textId="77777777" w:rsidR="00DD74E1"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370649D2" w14:textId="77777777" w:rsidR="00DD74E1" w:rsidRDefault="00DD74E1" w:rsidP="006C213E">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074AD2F0"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5C8AE5E7"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57A2A8E8" w14:textId="77777777" w:rsidR="00DD74E1" w:rsidRDefault="00DD74E1" w:rsidP="006C213E">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1636ABE5" w14:textId="77777777" w:rsidR="00DD74E1" w:rsidRDefault="00DD74E1" w:rsidP="006C213E">
            <w:pPr>
              <w:widowControl w:val="0"/>
              <w:autoSpaceDE w:val="0"/>
              <w:autoSpaceDN w:val="0"/>
              <w:adjustRightInd w:val="0"/>
              <w:spacing w:before="0" w:after="0"/>
              <w:contextualSpacing/>
              <w:jc w:val="center"/>
            </w:pPr>
            <w:r>
              <w:t>Y</w:t>
            </w:r>
          </w:p>
        </w:tc>
      </w:tr>
      <w:tr w:rsidR="00AA5C6B" w:rsidRPr="00066FD9" w14:paraId="5E516846" w14:textId="77777777" w:rsidTr="00FE27B1">
        <w:trPr>
          <w:jc w:val="center"/>
        </w:trPr>
        <w:tc>
          <w:tcPr>
            <w:tcW w:w="0" w:type="auto"/>
            <w:tcBorders>
              <w:top w:val="nil"/>
              <w:left w:val="nil"/>
              <w:bottom w:val="nil"/>
              <w:right w:val="nil"/>
            </w:tcBorders>
          </w:tcPr>
          <w:p w14:paraId="04AF898D" w14:textId="77777777" w:rsidR="00AA5C6B" w:rsidRPr="00066FD9" w:rsidRDefault="00AA5C6B" w:rsidP="00AA5C6B">
            <w:pPr>
              <w:widowControl w:val="0"/>
              <w:autoSpaceDE w:val="0"/>
              <w:autoSpaceDN w:val="0"/>
              <w:adjustRightInd w:val="0"/>
              <w:spacing w:before="0" w:after="0"/>
              <w:contextualSpacing/>
            </w:pPr>
            <w:r>
              <w:t>County FE</w:t>
            </w:r>
          </w:p>
        </w:tc>
        <w:tc>
          <w:tcPr>
            <w:tcW w:w="1130" w:type="dxa"/>
            <w:tcBorders>
              <w:top w:val="nil"/>
              <w:left w:val="nil"/>
              <w:bottom w:val="nil"/>
              <w:right w:val="nil"/>
            </w:tcBorders>
          </w:tcPr>
          <w:p w14:paraId="5D3CA7EF" w14:textId="77777777" w:rsidR="00AA5C6B" w:rsidRPr="00066FD9" w:rsidRDefault="00AA5C6B" w:rsidP="00AA5C6B">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7B036120" w14:textId="652AC2A4" w:rsidR="00AA5C6B" w:rsidRPr="00066FD9" w:rsidRDefault="00DF1D2A" w:rsidP="00AA5C6B">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4BB1F8A4" w14:textId="3479F74E" w:rsidR="00AA5C6B" w:rsidRPr="00066FD9" w:rsidRDefault="00DF1D2A"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059C9AB3"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63E786D0" w14:textId="46112A20" w:rsidR="00AA5C6B" w:rsidRPr="00066FD9" w:rsidRDefault="00DF1D2A"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442BC5D5" w14:textId="1B89EFB5" w:rsidR="00AA5C6B" w:rsidRPr="00066FD9" w:rsidRDefault="00DF1D2A" w:rsidP="00AA5C6B">
            <w:pPr>
              <w:widowControl w:val="0"/>
              <w:autoSpaceDE w:val="0"/>
              <w:autoSpaceDN w:val="0"/>
              <w:adjustRightInd w:val="0"/>
              <w:spacing w:before="0" w:after="0"/>
              <w:contextualSpacing/>
              <w:jc w:val="center"/>
            </w:pPr>
            <w:r>
              <w:t>Y</w:t>
            </w:r>
          </w:p>
        </w:tc>
      </w:tr>
      <w:tr w:rsidR="00AA5C6B" w:rsidRPr="00066FD9" w14:paraId="2919FC45" w14:textId="77777777" w:rsidTr="00FE27B1">
        <w:trPr>
          <w:jc w:val="center"/>
        </w:trPr>
        <w:tc>
          <w:tcPr>
            <w:tcW w:w="0" w:type="auto"/>
            <w:tcBorders>
              <w:top w:val="nil"/>
              <w:left w:val="nil"/>
              <w:bottom w:val="nil"/>
              <w:right w:val="nil"/>
            </w:tcBorders>
          </w:tcPr>
          <w:p w14:paraId="6C3A8E3E" w14:textId="4CA5FA51" w:rsidR="00AA5C6B" w:rsidRPr="00066FD9" w:rsidRDefault="00FE27B1" w:rsidP="00AA5C6B">
            <w:pPr>
              <w:widowControl w:val="0"/>
              <w:autoSpaceDE w:val="0"/>
              <w:autoSpaceDN w:val="0"/>
              <w:adjustRightInd w:val="0"/>
              <w:spacing w:before="0" w:after="0"/>
              <w:contextualSpacing/>
            </w:pPr>
            <w:r>
              <w:t>Treatment</w:t>
            </w:r>
            <w:r w:rsidR="00AA5C6B">
              <w:t xml:space="preserve"> X Year </w:t>
            </w:r>
          </w:p>
        </w:tc>
        <w:tc>
          <w:tcPr>
            <w:tcW w:w="1130" w:type="dxa"/>
            <w:tcBorders>
              <w:top w:val="nil"/>
              <w:left w:val="nil"/>
              <w:bottom w:val="nil"/>
              <w:right w:val="nil"/>
            </w:tcBorders>
          </w:tcPr>
          <w:p w14:paraId="1D6FC014"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632881BA" w14:textId="77777777" w:rsidR="00AA5C6B" w:rsidRPr="00066FD9" w:rsidRDefault="00AA5C6B" w:rsidP="00AA5C6B">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24059AD5"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0611A431"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6DD491DD"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0EECAF9E" w14:textId="77777777" w:rsidR="00AA5C6B" w:rsidRPr="00066FD9" w:rsidRDefault="00AA5C6B" w:rsidP="00AA5C6B">
            <w:pPr>
              <w:widowControl w:val="0"/>
              <w:autoSpaceDE w:val="0"/>
              <w:autoSpaceDN w:val="0"/>
              <w:adjustRightInd w:val="0"/>
              <w:spacing w:before="0" w:after="0"/>
              <w:contextualSpacing/>
              <w:jc w:val="center"/>
            </w:pPr>
            <w:r>
              <w:t>Y</w:t>
            </w:r>
          </w:p>
        </w:tc>
      </w:tr>
      <w:tr w:rsidR="00AA5C6B" w:rsidRPr="00066FD9" w14:paraId="1B338171" w14:textId="77777777" w:rsidTr="00FE27B1">
        <w:trPr>
          <w:jc w:val="center"/>
        </w:trPr>
        <w:tc>
          <w:tcPr>
            <w:tcW w:w="0" w:type="auto"/>
            <w:tcBorders>
              <w:top w:val="nil"/>
              <w:left w:val="nil"/>
              <w:bottom w:val="nil"/>
              <w:right w:val="nil"/>
            </w:tcBorders>
          </w:tcPr>
          <w:p w14:paraId="64EF9B8F" w14:textId="67E6C680" w:rsidR="00AA5C6B" w:rsidRPr="00066FD9" w:rsidRDefault="00FE27B1" w:rsidP="00AA5C6B">
            <w:pPr>
              <w:widowControl w:val="0"/>
              <w:autoSpaceDE w:val="0"/>
              <w:autoSpaceDN w:val="0"/>
              <w:adjustRightInd w:val="0"/>
              <w:spacing w:before="0" w:after="0"/>
              <w:contextualSpacing/>
            </w:pPr>
            <w:r>
              <w:t>Treatment</w:t>
            </w:r>
            <w:r w:rsidR="00AA5C6B">
              <w:t xml:space="preserve"> X County </w:t>
            </w:r>
          </w:p>
        </w:tc>
        <w:tc>
          <w:tcPr>
            <w:tcW w:w="1130" w:type="dxa"/>
            <w:tcBorders>
              <w:top w:val="nil"/>
              <w:left w:val="nil"/>
              <w:bottom w:val="nil"/>
              <w:right w:val="nil"/>
            </w:tcBorders>
          </w:tcPr>
          <w:p w14:paraId="572FBB81"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5D3915AF" w14:textId="77777777" w:rsidR="00AA5C6B" w:rsidRPr="00066FD9" w:rsidRDefault="00AA5C6B" w:rsidP="00AA5C6B">
            <w:pPr>
              <w:widowControl w:val="0"/>
              <w:autoSpaceDE w:val="0"/>
              <w:autoSpaceDN w:val="0"/>
              <w:adjustRightInd w:val="0"/>
              <w:spacing w:before="0" w:after="0"/>
              <w:contextualSpacing/>
              <w:jc w:val="center"/>
            </w:pPr>
            <w:r>
              <w:t>Y</w:t>
            </w:r>
          </w:p>
        </w:tc>
        <w:tc>
          <w:tcPr>
            <w:tcW w:w="1130" w:type="dxa"/>
            <w:tcBorders>
              <w:top w:val="nil"/>
              <w:left w:val="nil"/>
              <w:bottom w:val="nil"/>
              <w:right w:val="nil"/>
            </w:tcBorders>
          </w:tcPr>
          <w:p w14:paraId="7201C1E6"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487880E7"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51F5EA92"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6234B5E8" w14:textId="77777777" w:rsidR="00AA5C6B" w:rsidRPr="00066FD9" w:rsidRDefault="00AA5C6B" w:rsidP="00AA5C6B">
            <w:pPr>
              <w:widowControl w:val="0"/>
              <w:autoSpaceDE w:val="0"/>
              <w:autoSpaceDN w:val="0"/>
              <w:adjustRightInd w:val="0"/>
              <w:spacing w:before="0" w:after="0"/>
              <w:contextualSpacing/>
              <w:jc w:val="center"/>
            </w:pPr>
            <w:r>
              <w:t>Y</w:t>
            </w:r>
          </w:p>
        </w:tc>
      </w:tr>
      <w:tr w:rsidR="00AA5C6B" w:rsidRPr="00066FD9" w14:paraId="57D78D10" w14:textId="77777777" w:rsidTr="00FE27B1">
        <w:trPr>
          <w:jc w:val="center"/>
        </w:trPr>
        <w:tc>
          <w:tcPr>
            <w:tcW w:w="0" w:type="auto"/>
            <w:tcBorders>
              <w:top w:val="nil"/>
              <w:left w:val="nil"/>
              <w:bottom w:val="nil"/>
              <w:right w:val="nil"/>
            </w:tcBorders>
          </w:tcPr>
          <w:p w14:paraId="21F97EB4" w14:textId="77777777" w:rsidR="00AA5C6B" w:rsidRPr="00066FD9" w:rsidRDefault="00AA5C6B" w:rsidP="00AA5C6B">
            <w:pPr>
              <w:widowControl w:val="0"/>
              <w:autoSpaceDE w:val="0"/>
              <w:autoSpaceDN w:val="0"/>
              <w:adjustRightInd w:val="0"/>
              <w:spacing w:before="0" w:after="0"/>
              <w:contextualSpacing/>
            </w:pPr>
            <w:r>
              <w:t xml:space="preserve">County X Older </w:t>
            </w:r>
          </w:p>
        </w:tc>
        <w:tc>
          <w:tcPr>
            <w:tcW w:w="1130" w:type="dxa"/>
            <w:tcBorders>
              <w:top w:val="nil"/>
              <w:left w:val="nil"/>
              <w:bottom w:val="nil"/>
              <w:right w:val="nil"/>
            </w:tcBorders>
          </w:tcPr>
          <w:p w14:paraId="7B7E9122"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4192CC13"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37ABBF28"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52D13B98"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3FE81CCC"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46A58B23" w14:textId="77777777" w:rsidR="00AA5C6B" w:rsidRPr="00066FD9" w:rsidRDefault="00AA5C6B" w:rsidP="00AA5C6B">
            <w:pPr>
              <w:widowControl w:val="0"/>
              <w:autoSpaceDE w:val="0"/>
              <w:autoSpaceDN w:val="0"/>
              <w:adjustRightInd w:val="0"/>
              <w:spacing w:before="0" w:after="0"/>
              <w:contextualSpacing/>
              <w:jc w:val="center"/>
            </w:pPr>
            <w:r>
              <w:t>Y</w:t>
            </w:r>
          </w:p>
        </w:tc>
      </w:tr>
      <w:tr w:rsidR="00AA5C6B" w:rsidRPr="00066FD9" w14:paraId="332C1014" w14:textId="77777777" w:rsidTr="00FE27B1">
        <w:trPr>
          <w:jc w:val="center"/>
        </w:trPr>
        <w:tc>
          <w:tcPr>
            <w:tcW w:w="0" w:type="auto"/>
            <w:tcBorders>
              <w:top w:val="nil"/>
              <w:left w:val="nil"/>
              <w:bottom w:val="nil"/>
              <w:right w:val="nil"/>
            </w:tcBorders>
          </w:tcPr>
          <w:p w14:paraId="034B865E" w14:textId="77777777" w:rsidR="00AA5C6B" w:rsidRPr="00066FD9" w:rsidRDefault="00AA5C6B" w:rsidP="00AA5C6B">
            <w:pPr>
              <w:widowControl w:val="0"/>
              <w:autoSpaceDE w:val="0"/>
              <w:autoSpaceDN w:val="0"/>
              <w:adjustRightInd w:val="0"/>
              <w:spacing w:before="0" w:after="0"/>
              <w:contextualSpacing/>
            </w:pPr>
            <w:r>
              <w:t xml:space="preserve">County X Owner </w:t>
            </w:r>
          </w:p>
        </w:tc>
        <w:tc>
          <w:tcPr>
            <w:tcW w:w="1130" w:type="dxa"/>
            <w:tcBorders>
              <w:top w:val="nil"/>
              <w:left w:val="nil"/>
              <w:bottom w:val="nil"/>
              <w:right w:val="nil"/>
            </w:tcBorders>
          </w:tcPr>
          <w:p w14:paraId="036E78AD"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401844FD"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7E1B7AF5"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7F4910D8"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31183AD0" w14:textId="77777777" w:rsidR="00AA5C6B" w:rsidRPr="00066FD9"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0994F949" w14:textId="77777777" w:rsidR="00AA5C6B" w:rsidRPr="00066FD9" w:rsidRDefault="00AA5C6B" w:rsidP="00AA5C6B">
            <w:pPr>
              <w:widowControl w:val="0"/>
              <w:autoSpaceDE w:val="0"/>
              <w:autoSpaceDN w:val="0"/>
              <w:adjustRightInd w:val="0"/>
              <w:spacing w:before="0" w:after="0"/>
              <w:contextualSpacing/>
              <w:jc w:val="center"/>
            </w:pPr>
            <w:r>
              <w:t>Y</w:t>
            </w:r>
          </w:p>
        </w:tc>
      </w:tr>
      <w:tr w:rsidR="00AA5C6B" w:rsidRPr="00066FD9" w14:paraId="16F6AA3A" w14:textId="77777777" w:rsidTr="00FE27B1">
        <w:trPr>
          <w:jc w:val="center"/>
        </w:trPr>
        <w:tc>
          <w:tcPr>
            <w:tcW w:w="0" w:type="auto"/>
            <w:tcBorders>
              <w:top w:val="nil"/>
              <w:left w:val="nil"/>
              <w:bottom w:val="nil"/>
              <w:right w:val="nil"/>
            </w:tcBorders>
          </w:tcPr>
          <w:p w14:paraId="3C71AFB3" w14:textId="77777777" w:rsidR="00AA5C6B" w:rsidRPr="00066FD9" w:rsidRDefault="00AA5C6B" w:rsidP="00AA5C6B">
            <w:pPr>
              <w:widowControl w:val="0"/>
              <w:autoSpaceDE w:val="0"/>
              <w:autoSpaceDN w:val="0"/>
              <w:adjustRightInd w:val="0"/>
              <w:spacing w:before="0" w:after="0"/>
              <w:contextualSpacing/>
            </w:pPr>
            <w:r>
              <w:t>Year X Older X Urban</w:t>
            </w:r>
          </w:p>
        </w:tc>
        <w:tc>
          <w:tcPr>
            <w:tcW w:w="1130" w:type="dxa"/>
            <w:tcBorders>
              <w:top w:val="nil"/>
              <w:left w:val="nil"/>
              <w:bottom w:val="nil"/>
              <w:right w:val="nil"/>
            </w:tcBorders>
          </w:tcPr>
          <w:p w14:paraId="706E3719"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4F44A873" w14:textId="77777777" w:rsidR="00AA5C6B" w:rsidRPr="00066FD9" w:rsidRDefault="00AA5C6B" w:rsidP="00AA5C6B">
            <w:pPr>
              <w:widowControl w:val="0"/>
              <w:autoSpaceDE w:val="0"/>
              <w:autoSpaceDN w:val="0"/>
              <w:adjustRightInd w:val="0"/>
              <w:spacing w:before="0" w:after="0"/>
              <w:contextualSpacing/>
              <w:jc w:val="center"/>
            </w:pPr>
            <w:r>
              <w:t>N</w:t>
            </w:r>
          </w:p>
        </w:tc>
        <w:tc>
          <w:tcPr>
            <w:tcW w:w="1130" w:type="dxa"/>
            <w:tcBorders>
              <w:top w:val="nil"/>
              <w:left w:val="nil"/>
              <w:bottom w:val="nil"/>
              <w:right w:val="nil"/>
            </w:tcBorders>
          </w:tcPr>
          <w:p w14:paraId="17FF330C" w14:textId="77777777" w:rsidR="00AA5C6B" w:rsidRPr="00066FD9" w:rsidRDefault="00AA5C6B" w:rsidP="00AA5C6B">
            <w:pPr>
              <w:widowControl w:val="0"/>
              <w:autoSpaceDE w:val="0"/>
              <w:autoSpaceDN w:val="0"/>
              <w:adjustRightInd w:val="0"/>
              <w:spacing w:before="0" w:after="0"/>
              <w:contextualSpacing/>
              <w:jc w:val="center"/>
            </w:pPr>
            <w:r>
              <w:t>Y</w:t>
            </w:r>
          </w:p>
        </w:tc>
        <w:tc>
          <w:tcPr>
            <w:tcW w:w="0" w:type="auto"/>
            <w:tcBorders>
              <w:top w:val="nil"/>
              <w:left w:val="nil"/>
              <w:bottom w:val="nil"/>
              <w:right w:val="nil"/>
            </w:tcBorders>
          </w:tcPr>
          <w:p w14:paraId="34562316" w14:textId="77777777" w:rsidR="00AA5C6B"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678CC0A8" w14:textId="77777777" w:rsidR="00AA5C6B" w:rsidRDefault="00AA5C6B" w:rsidP="00AA5C6B">
            <w:pPr>
              <w:widowControl w:val="0"/>
              <w:autoSpaceDE w:val="0"/>
              <w:autoSpaceDN w:val="0"/>
              <w:adjustRightInd w:val="0"/>
              <w:spacing w:before="0" w:after="0"/>
              <w:contextualSpacing/>
              <w:jc w:val="center"/>
            </w:pPr>
            <w:r>
              <w:t>N</w:t>
            </w:r>
          </w:p>
        </w:tc>
        <w:tc>
          <w:tcPr>
            <w:tcW w:w="0" w:type="auto"/>
            <w:tcBorders>
              <w:top w:val="nil"/>
              <w:left w:val="nil"/>
              <w:bottom w:val="nil"/>
              <w:right w:val="nil"/>
            </w:tcBorders>
          </w:tcPr>
          <w:p w14:paraId="1DC7D9AE" w14:textId="77777777" w:rsidR="00AA5C6B" w:rsidRDefault="00AA5C6B" w:rsidP="00AA5C6B">
            <w:pPr>
              <w:widowControl w:val="0"/>
              <w:autoSpaceDE w:val="0"/>
              <w:autoSpaceDN w:val="0"/>
              <w:adjustRightInd w:val="0"/>
              <w:spacing w:before="0" w:after="0"/>
              <w:contextualSpacing/>
              <w:jc w:val="center"/>
            </w:pPr>
            <w:r>
              <w:t>Y</w:t>
            </w:r>
          </w:p>
        </w:tc>
      </w:tr>
      <w:tr w:rsidR="00AA5C6B" w:rsidRPr="00066FD9" w14:paraId="591552E4" w14:textId="77777777" w:rsidTr="00FE27B1">
        <w:trPr>
          <w:jc w:val="center"/>
        </w:trPr>
        <w:tc>
          <w:tcPr>
            <w:tcW w:w="0" w:type="auto"/>
            <w:tcBorders>
              <w:top w:val="nil"/>
              <w:left w:val="nil"/>
              <w:bottom w:val="nil"/>
              <w:right w:val="nil"/>
            </w:tcBorders>
          </w:tcPr>
          <w:p w14:paraId="0FED2786" w14:textId="77777777" w:rsidR="00AA5C6B" w:rsidRPr="00066FD9" w:rsidRDefault="00AA5C6B" w:rsidP="00AA5C6B">
            <w:pPr>
              <w:widowControl w:val="0"/>
              <w:autoSpaceDE w:val="0"/>
              <w:autoSpaceDN w:val="0"/>
              <w:adjustRightInd w:val="0"/>
              <w:spacing w:before="0" w:after="0"/>
              <w:contextualSpacing/>
            </w:pPr>
            <w:r w:rsidRPr="00066FD9">
              <w:t>Observations</w:t>
            </w:r>
          </w:p>
        </w:tc>
        <w:tc>
          <w:tcPr>
            <w:tcW w:w="1130" w:type="dxa"/>
            <w:tcBorders>
              <w:top w:val="nil"/>
              <w:left w:val="nil"/>
              <w:bottom w:val="nil"/>
              <w:right w:val="nil"/>
            </w:tcBorders>
          </w:tcPr>
          <w:p w14:paraId="1811F8DA" w14:textId="77777777" w:rsidR="00AA5C6B" w:rsidRDefault="00AA5C6B" w:rsidP="00AA5C6B">
            <w:pPr>
              <w:widowControl w:val="0"/>
              <w:autoSpaceDE w:val="0"/>
              <w:autoSpaceDN w:val="0"/>
              <w:adjustRightInd w:val="0"/>
              <w:spacing w:before="0" w:after="0"/>
              <w:contextualSpacing/>
              <w:jc w:val="center"/>
            </w:pPr>
            <w:r>
              <w:t>3,180</w:t>
            </w:r>
          </w:p>
        </w:tc>
        <w:tc>
          <w:tcPr>
            <w:tcW w:w="1130" w:type="dxa"/>
            <w:tcBorders>
              <w:top w:val="nil"/>
              <w:left w:val="nil"/>
              <w:bottom w:val="nil"/>
              <w:right w:val="nil"/>
            </w:tcBorders>
          </w:tcPr>
          <w:p w14:paraId="04848D61" w14:textId="77777777" w:rsidR="00AA5C6B" w:rsidRDefault="00AA5C6B" w:rsidP="00AA5C6B">
            <w:pPr>
              <w:widowControl w:val="0"/>
              <w:autoSpaceDE w:val="0"/>
              <w:autoSpaceDN w:val="0"/>
              <w:adjustRightInd w:val="0"/>
              <w:spacing w:before="0" w:after="0"/>
              <w:contextualSpacing/>
              <w:jc w:val="center"/>
            </w:pPr>
            <w:r>
              <w:t>3,180</w:t>
            </w:r>
          </w:p>
        </w:tc>
        <w:tc>
          <w:tcPr>
            <w:tcW w:w="1130" w:type="dxa"/>
            <w:tcBorders>
              <w:top w:val="nil"/>
              <w:left w:val="nil"/>
              <w:bottom w:val="nil"/>
              <w:right w:val="nil"/>
            </w:tcBorders>
          </w:tcPr>
          <w:p w14:paraId="6C306EF8" w14:textId="77777777" w:rsidR="00AA5C6B" w:rsidRDefault="00AA5C6B" w:rsidP="00AA5C6B">
            <w:pPr>
              <w:widowControl w:val="0"/>
              <w:autoSpaceDE w:val="0"/>
              <w:autoSpaceDN w:val="0"/>
              <w:adjustRightInd w:val="0"/>
              <w:spacing w:before="0" w:after="0"/>
              <w:contextualSpacing/>
              <w:jc w:val="center"/>
            </w:pPr>
            <w:r>
              <w:t>3,180</w:t>
            </w:r>
          </w:p>
        </w:tc>
        <w:tc>
          <w:tcPr>
            <w:tcW w:w="0" w:type="auto"/>
            <w:tcBorders>
              <w:top w:val="nil"/>
              <w:left w:val="nil"/>
              <w:bottom w:val="nil"/>
              <w:right w:val="nil"/>
            </w:tcBorders>
          </w:tcPr>
          <w:p w14:paraId="191E0ACB" w14:textId="77777777" w:rsidR="00AA5C6B" w:rsidRDefault="00AA5C6B" w:rsidP="00AA5C6B">
            <w:pPr>
              <w:widowControl w:val="0"/>
              <w:autoSpaceDE w:val="0"/>
              <w:autoSpaceDN w:val="0"/>
              <w:adjustRightInd w:val="0"/>
              <w:spacing w:before="0" w:after="0"/>
              <w:contextualSpacing/>
              <w:jc w:val="center"/>
            </w:pPr>
            <w:r>
              <w:t>3,176</w:t>
            </w:r>
          </w:p>
        </w:tc>
        <w:tc>
          <w:tcPr>
            <w:tcW w:w="0" w:type="auto"/>
            <w:tcBorders>
              <w:top w:val="nil"/>
              <w:left w:val="nil"/>
              <w:bottom w:val="nil"/>
              <w:right w:val="nil"/>
            </w:tcBorders>
          </w:tcPr>
          <w:p w14:paraId="3090DA66" w14:textId="77777777" w:rsidR="00AA5C6B" w:rsidRDefault="00AA5C6B" w:rsidP="00AA5C6B">
            <w:pPr>
              <w:widowControl w:val="0"/>
              <w:autoSpaceDE w:val="0"/>
              <w:autoSpaceDN w:val="0"/>
              <w:adjustRightInd w:val="0"/>
              <w:spacing w:before="0" w:after="0"/>
              <w:contextualSpacing/>
              <w:jc w:val="center"/>
            </w:pPr>
            <w:r>
              <w:t>3,176</w:t>
            </w:r>
          </w:p>
        </w:tc>
        <w:tc>
          <w:tcPr>
            <w:tcW w:w="0" w:type="auto"/>
            <w:tcBorders>
              <w:top w:val="nil"/>
              <w:left w:val="nil"/>
              <w:bottom w:val="nil"/>
              <w:right w:val="nil"/>
            </w:tcBorders>
          </w:tcPr>
          <w:p w14:paraId="40174DED" w14:textId="77777777" w:rsidR="00AA5C6B" w:rsidRDefault="00AA5C6B" w:rsidP="00AA5C6B">
            <w:pPr>
              <w:widowControl w:val="0"/>
              <w:autoSpaceDE w:val="0"/>
              <w:autoSpaceDN w:val="0"/>
              <w:adjustRightInd w:val="0"/>
              <w:spacing w:before="0" w:after="0"/>
              <w:contextualSpacing/>
              <w:jc w:val="center"/>
            </w:pPr>
            <w:r>
              <w:t>3,176</w:t>
            </w:r>
          </w:p>
        </w:tc>
      </w:tr>
      <w:tr w:rsidR="00AA5C6B" w:rsidRPr="00066FD9" w14:paraId="1EF4C87C" w14:textId="77777777" w:rsidTr="00FE27B1">
        <w:tblPrEx>
          <w:tblBorders>
            <w:bottom w:val="single" w:sz="6" w:space="0" w:color="auto"/>
          </w:tblBorders>
        </w:tblPrEx>
        <w:trPr>
          <w:jc w:val="center"/>
        </w:trPr>
        <w:tc>
          <w:tcPr>
            <w:tcW w:w="0" w:type="auto"/>
            <w:tcBorders>
              <w:top w:val="nil"/>
              <w:left w:val="nil"/>
              <w:bottom w:val="single" w:sz="6" w:space="0" w:color="auto"/>
              <w:right w:val="nil"/>
            </w:tcBorders>
          </w:tcPr>
          <w:p w14:paraId="2219CDD8" w14:textId="77777777" w:rsidR="00AA5C6B" w:rsidRPr="00066FD9" w:rsidRDefault="00AA5C6B" w:rsidP="00AA5C6B">
            <w:pPr>
              <w:widowControl w:val="0"/>
              <w:autoSpaceDE w:val="0"/>
              <w:autoSpaceDN w:val="0"/>
              <w:adjustRightInd w:val="0"/>
              <w:spacing w:before="0" w:after="0"/>
              <w:contextualSpacing/>
            </w:pPr>
            <w:r w:rsidRPr="00066FD9">
              <w:t>R-squared</w:t>
            </w:r>
          </w:p>
        </w:tc>
        <w:tc>
          <w:tcPr>
            <w:tcW w:w="1130" w:type="dxa"/>
            <w:tcBorders>
              <w:top w:val="nil"/>
              <w:left w:val="nil"/>
              <w:bottom w:val="single" w:sz="6" w:space="0" w:color="auto"/>
              <w:right w:val="nil"/>
            </w:tcBorders>
          </w:tcPr>
          <w:p w14:paraId="52FAA937" w14:textId="77777777" w:rsidR="00AA5C6B" w:rsidRDefault="00AA5C6B" w:rsidP="00AA5C6B">
            <w:pPr>
              <w:widowControl w:val="0"/>
              <w:autoSpaceDE w:val="0"/>
              <w:autoSpaceDN w:val="0"/>
              <w:adjustRightInd w:val="0"/>
              <w:spacing w:before="0" w:after="0"/>
              <w:contextualSpacing/>
              <w:jc w:val="center"/>
            </w:pPr>
            <w:r>
              <w:t>0.947</w:t>
            </w:r>
          </w:p>
        </w:tc>
        <w:tc>
          <w:tcPr>
            <w:tcW w:w="1130" w:type="dxa"/>
            <w:tcBorders>
              <w:top w:val="nil"/>
              <w:left w:val="nil"/>
              <w:bottom w:val="single" w:sz="6" w:space="0" w:color="auto"/>
              <w:right w:val="nil"/>
            </w:tcBorders>
          </w:tcPr>
          <w:p w14:paraId="753A8356" w14:textId="77777777" w:rsidR="00AA5C6B" w:rsidRDefault="00AA5C6B" w:rsidP="00AA5C6B">
            <w:pPr>
              <w:widowControl w:val="0"/>
              <w:autoSpaceDE w:val="0"/>
              <w:autoSpaceDN w:val="0"/>
              <w:adjustRightInd w:val="0"/>
              <w:spacing w:before="0" w:after="0"/>
              <w:contextualSpacing/>
              <w:jc w:val="center"/>
            </w:pPr>
            <w:r>
              <w:t>0.955</w:t>
            </w:r>
          </w:p>
        </w:tc>
        <w:tc>
          <w:tcPr>
            <w:tcW w:w="1130" w:type="dxa"/>
            <w:tcBorders>
              <w:top w:val="nil"/>
              <w:left w:val="nil"/>
              <w:bottom w:val="single" w:sz="6" w:space="0" w:color="auto"/>
              <w:right w:val="nil"/>
            </w:tcBorders>
          </w:tcPr>
          <w:p w14:paraId="60CD6AB5" w14:textId="77777777" w:rsidR="00AA5C6B" w:rsidRDefault="00AA5C6B" w:rsidP="00AA5C6B">
            <w:pPr>
              <w:widowControl w:val="0"/>
              <w:autoSpaceDE w:val="0"/>
              <w:autoSpaceDN w:val="0"/>
              <w:adjustRightInd w:val="0"/>
              <w:spacing w:before="0" w:after="0"/>
              <w:contextualSpacing/>
              <w:jc w:val="center"/>
            </w:pPr>
            <w:r>
              <w:t>0.981</w:t>
            </w:r>
          </w:p>
        </w:tc>
        <w:tc>
          <w:tcPr>
            <w:tcW w:w="0" w:type="auto"/>
            <w:tcBorders>
              <w:top w:val="nil"/>
              <w:left w:val="nil"/>
              <w:bottom w:val="single" w:sz="6" w:space="0" w:color="auto"/>
              <w:right w:val="nil"/>
            </w:tcBorders>
          </w:tcPr>
          <w:p w14:paraId="43839452" w14:textId="77777777" w:rsidR="00AA5C6B" w:rsidRDefault="00AA5C6B" w:rsidP="00AA5C6B">
            <w:pPr>
              <w:widowControl w:val="0"/>
              <w:autoSpaceDE w:val="0"/>
              <w:autoSpaceDN w:val="0"/>
              <w:adjustRightInd w:val="0"/>
              <w:spacing w:before="0" w:after="0"/>
              <w:contextualSpacing/>
              <w:jc w:val="center"/>
            </w:pPr>
            <w:r>
              <w:t>0.946</w:t>
            </w:r>
          </w:p>
        </w:tc>
        <w:tc>
          <w:tcPr>
            <w:tcW w:w="0" w:type="auto"/>
            <w:tcBorders>
              <w:top w:val="nil"/>
              <w:left w:val="nil"/>
              <w:bottom w:val="single" w:sz="6" w:space="0" w:color="auto"/>
              <w:right w:val="nil"/>
            </w:tcBorders>
          </w:tcPr>
          <w:p w14:paraId="29DDDD37" w14:textId="77777777" w:rsidR="00AA5C6B" w:rsidRDefault="00AA5C6B" w:rsidP="00AA5C6B">
            <w:pPr>
              <w:widowControl w:val="0"/>
              <w:autoSpaceDE w:val="0"/>
              <w:autoSpaceDN w:val="0"/>
              <w:adjustRightInd w:val="0"/>
              <w:spacing w:before="0" w:after="0"/>
              <w:contextualSpacing/>
              <w:jc w:val="center"/>
            </w:pPr>
            <w:r>
              <w:t>0.953</w:t>
            </w:r>
          </w:p>
        </w:tc>
        <w:tc>
          <w:tcPr>
            <w:tcW w:w="0" w:type="auto"/>
            <w:tcBorders>
              <w:top w:val="nil"/>
              <w:left w:val="nil"/>
              <w:bottom w:val="single" w:sz="6" w:space="0" w:color="auto"/>
              <w:right w:val="nil"/>
            </w:tcBorders>
          </w:tcPr>
          <w:p w14:paraId="3F7C4F23" w14:textId="77777777" w:rsidR="00AA5C6B" w:rsidRDefault="00AA5C6B" w:rsidP="00AA5C6B">
            <w:pPr>
              <w:widowControl w:val="0"/>
              <w:autoSpaceDE w:val="0"/>
              <w:autoSpaceDN w:val="0"/>
              <w:adjustRightInd w:val="0"/>
              <w:spacing w:before="0" w:after="0"/>
              <w:contextualSpacing/>
              <w:jc w:val="center"/>
            </w:pPr>
            <w:r>
              <w:t>0.979</w:t>
            </w:r>
          </w:p>
        </w:tc>
      </w:tr>
    </w:tbl>
    <w:p w14:paraId="12980702" w14:textId="656CFCD6" w:rsidR="000A4CCE" w:rsidRDefault="00AA5C6B" w:rsidP="00AA5C6B">
      <w:pPr>
        <w:widowControl w:val="0"/>
        <w:autoSpaceDE w:val="0"/>
        <w:autoSpaceDN w:val="0"/>
        <w:adjustRightInd w:val="0"/>
        <w:spacing w:before="0" w:after="0"/>
        <w:rPr>
          <w:rFonts w:eastAsiaTheme="minorEastAsia"/>
        </w:rPr>
      </w:pPr>
      <w:r>
        <w:t xml:space="preserve">NOTES: The table presents results from six separate regressions of the (log) number of each household type. </w:t>
      </w:r>
      <w:r w:rsidR="000A4CCE">
        <w:t>Column </w:t>
      </w:r>
      <w:r>
        <w:t>(1) reports results for Equation</w:t>
      </w:r>
      <w:r w:rsidR="00DD74E1">
        <w:t> </w:t>
      </w:r>
      <w:r>
        <w:t>(</w:t>
      </w:r>
      <w:r w:rsidR="00132BF0">
        <w:t>1</w:t>
      </w:r>
      <w:r>
        <w:t>)</w:t>
      </w:r>
      <w:r w:rsidR="00DD74E1">
        <w:t>, with year X owner and year X older effects replacing owner and older effects</w:t>
      </w:r>
      <w:r>
        <w:t xml:space="preserve">. </w:t>
      </w:r>
      <w:r w:rsidR="00DD74E1">
        <w:t xml:space="preserve"> </w:t>
      </w:r>
      <w:r w:rsidR="000A4CCE">
        <w:t>Column </w:t>
      </w:r>
      <w:r>
        <w:t>(2) replaces the county and decade fixed effects in Equation (</w:t>
      </w:r>
      <w:r w:rsidR="00132BF0">
        <w:t>1</w:t>
      </w:r>
      <w:r>
        <w:t xml:space="preserve">) with exemption-year and exemption-county </w:t>
      </w:r>
      <w:r w:rsidR="00DD74E1">
        <w:t>i</w:t>
      </w:r>
      <w:r>
        <w:t xml:space="preserve">nteractions. </w:t>
      </w:r>
      <w:r w:rsidR="00DD74E1">
        <w:t xml:space="preserve"> </w:t>
      </w:r>
      <w:r w:rsidR="000A4CCE">
        <w:t>Column </w:t>
      </w:r>
      <w:r>
        <w:t xml:space="preserve">(3) adds county-age, county-owner, and year-age-urban status interactions to the specification in </w:t>
      </w:r>
      <w:r w:rsidR="000A4CCE">
        <w:t>Column </w:t>
      </w:r>
      <w:r>
        <w:t xml:space="preserve">(2). </w:t>
      </w:r>
      <w:r w:rsidR="00FE27B1">
        <w:t xml:space="preserve"> </w:t>
      </w:r>
      <w:r>
        <w:t>Panel</w:t>
      </w:r>
      <w:r w:rsidR="00FE27B1">
        <w:t> </w:t>
      </w:r>
      <w:r>
        <w:t xml:space="preserve">A uses the </w:t>
      </w:r>
      <w:r>
        <w:rPr>
          <w:rFonts w:eastAsiaTheme="minorEastAsia"/>
        </w:rPr>
        <w:t>housing unit weighted average of indicator variables denoting any age-based property tax exemption in the county and covered cities. Panel</w:t>
      </w:r>
      <w:r w:rsidR="00FE27B1">
        <w:rPr>
          <w:rFonts w:eastAsiaTheme="minorEastAsia"/>
        </w:rPr>
        <w:t> </w:t>
      </w:r>
      <w:r>
        <w:rPr>
          <w:rFonts w:eastAsiaTheme="minorEastAsia"/>
        </w:rPr>
        <w:t xml:space="preserve">B uses the inverse of the ratio of under 65 to over 65 simulated property taxes as the measure of the age-based property tax exemption treatment. </w:t>
      </w:r>
    </w:p>
    <w:p w14:paraId="6B844500" w14:textId="77777777" w:rsidR="000A4CCE" w:rsidRDefault="00AA5C6B" w:rsidP="00AA5C6B">
      <w:pPr>
        <w:widowControl w:val="0"/>
        <w:autoSpaceDE w:val="0"/>
        <w:autoSpaceDN w:val="0"/>
        <w:adjustRightInd w:val="0"/>
        <w:spacing w:before="0" w:after="0"/>
        <w:rPr>
          <w:rFonts w:eastAsiaTheme="minorEastAsia"/>
        </w:rPr>
      </w:pPr>
      <w:r>
        <w:rPr>
          <w:rFonts w:eastAsiaTheme="minorEastAsia"/>
        </w:rPr>
        <w:t xml:space="preserve">Robust standard errors clustered at the county level are reported in parentheses. </w:t>
      </w:r>
    </w:p>
    <w:p w14:paraId="2FBBFD90" w14:textId="4C580AC2" w:rsidR="00AA5C6B" w:rsidRDefault="00AA5C6B" w:rsidP="00AA5C6B">
      <w:pPr>
        <w:widowControl w:val="0"/>
        <w:autoSpaceDE w:val="0"/>
        <w:autoSpaceDN w:val="0"/>
        <w:adjustRightInd w:val="0"/>
        <w:spacing w:before="0" w:after="0"/>
      </w:pPr>
      <w:r>
        <w:t>*** p&lt;0.01, ** p&lt;0.05, * p&lt;0.1</w:t>
      </w:r>
    </w:p>
    <w:p w14:paraId="59FB3FD9" w14:textId="77777777" w:rsidR="00AA5C6B" w:rsidRDefault="00AA5C6B" w:rsidP="00AA5C6B">
      <w:pPr>
        <w:spacing w:before="0" w:after="0"/>
        <w:rPr>
          <w:rFonts w:eastAsiaTheme="minorEastAsia"/>
        </w:rPr>
      </w:pPr>
      <w:r>
        <w:rPr>
          <w:rFonts w:eastAsiaTheme="minorEastAsia"/>
        </w:rPr>
        <w:t xml:space="preserve"> </w:t>
      </w:r>
    </w:p>
    <w:p w14:paraId="16CD4D10" w14:textId="77777777" w:rsidR="00AA5C6B" w:rsidRDefault="00AA5C6B" w:rsidP="00AA5C6B">
      <w:pPr>
        <w:spacing w:before="0" w:after="160" w:line="259" w:lineRule="auto"/>
        <w:rPr>
          <w:b/>
        </w:rPr>
      </w:pPr>
      <w:r>
        <w:rPr>
          <w:b/>
        </w:rPr>
        <w:br w:type="page"/>
      </w:r>
    </w:p>
    <w:p w14:paraId="5D12217F" w14:textId="77777777" w:rsidR="00AA5C6B" w:rsidRPr="007F3719" w:rsidRDefault="00AA5C6B" w:rsidP="00AA5C6B">
      <w:pPr>
        <w:spacing w:before="0" w:after="0"/>
        <w:contextualSpacing/>
        <w:rPr>
          <w:b/>
        </w:rPr>
      </w:pPr>
      <w:r w:rsidRPr="007F3719">
        <w:rPr>
          <w:b/>
        </w:rPr>
        <w:lastRenderedPageBreak/>
        <w:t xml:space="preserve">Table </w:t>
      </w:r>
      <w:r>
        <w:rPr>
          <w:b/>
        </w:rPr>
        <w:t>5</w:t>
      </w:r>
      <w:r w:rsidRPr="007F3719">
        <w:rPr>
          <w:b/>
        </w:rPr>
        <w:t xml:space="preserve">. </w:t>
      </w:r>
      <w:r>
        <w:rPr>
          <w:b/>
        </w:rPr>
        <w:t>Percentage change in</w:t>
      </w:r>
      <w:r w:rsidRPr="007F3719">
        <w:rPr>
          <w:b/>
        </w:rPr>
        <w:t xml:space="preserve"> household type quadruple-difference </w:t>
      </w:r>
    </w:p>
    <w:tbl>
      <w:tblPr>
        <w:tblW w:w="0" w:type="auto"/>
        <w:jc w:val="center"/>
        <w:tblLayout w:type="fixed"/>
        <w:tblCellMar>
          <w:left w:w="75" w:type="dxa"/>
          <w:right w:w="75" w:type="dxa"/>
        </w:tblCellMar>
        <w:tblLook w:val="0000" w:firstRow="0" w:lastRow="0" w:firstColumn="0" w:lastColumn="0" w:noHBand="0" w:noVBand="0"/>
      </w:tblPr>
      <w:tblGrid>
        <w:gridCol w:w="2585"/>
        <w:gridCol w:w="1150"/>
        <w:gridCol w:w="1151"/>
        <w:gridCol w:w="1151"/>
        <w:gridCol w:w="1151"/>
        <w:gridCol w:w="1151"/>
        <w:gridCol w:w="1151"/>
      </w:tblGrid>
      <w:tr w:rsidR="00AA5C6B" w:rsidRPr="00066FD9" w14:paraId="013BCB06" w14:textId="77777777" w:rsidTr="00FE27B1">
        <w:trPr>
          <w:jc w:val="center"/>
        </w:trPr>
        <w:tc>
          <w:tcPr>
            <w:tcW w:w="2585" w:type="dxa"/>
            <w:tcBorders>
              <w:top w:val="single" w:sz="6" w:space="0" w:color="auto"/>
              <w:left w:val="nil"/>
              <w:bottom w:val="nil"/>
              <w:right w:val="nil"/>
            </w:tcBorders>
          </w:tcPr>
          <w:p w14:paraId="1B9BF84E"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3452" w:type="dxa"/>
            <w:gridSpan w:val="3"/>
            <w:tcBorders>
              <w:top w:val="single" w:sz="6" w:space="0" w:color="auto"/>
              <w:left w:val="nil"/>
              <w:bottom w:val="single" w:sz="4" w:space="0" w:color="auto"/>
              <w:right w:val="nil"/>
            </w:tcBorders>
          </w:tcPr>
          <w:p w14:paraId="499182C8"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t>Panel A: Exemption Indicator</w:t>
            </w:r>
          </w:p>
        </w:tc>
        <w:tc>
          <w:tcPr>
            <w:tcW w:w="3453" w:type="dxa"/>
            <w:gridSpan w:val="3"/>
            <w:tcBorders>
              <w:top w:val="single" w:sz="6" w:space="0" w:color="auto"/>
              <w:left w:val="nil"/>
              <w:bottom w:val="single" w:sz="4" w:space="0" w:color="auto"/>
              <w:right w:val="nil"/>
            </w:tcBorders>
          </w:tcPr>
          <w:p w14:paraId="6E530034"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t>Panel B: Simulated Tax Ratio</w:t>
            </w:r>
          </w:p>
        </w:tc>
      </w:tr>
      <w:tr w:rsidR="00AA5C6B" w:rsidRPr="00066FD9" w14:paraId="3D391290" w14:textId="77777777" w:rsidTr="00FE27B1">
        <w:trPr>
          <w:jc w:val="center"/>
        </w:trPr>
        <w:tc>
          <w:tcPr>
            <w:tcW w:w="2585" w:type="dxa"/>
            <w:tcBorders>
              <w:top w:val="nil"/>
              <w:left w:val="nil"/>
              <w:bottom w:val="nil"/>
              <w:right w:val="nil"/>
            </w:tcBorders>
          </w:tcPr>
          <w:p w14:paraId="6DE849AB"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1150" w:type="dxa"/>
            <w:tcBorders>
              <w:top w:val="single" w:sz="4" w:space="0" w:color="auto"/>
              <w:left w:val="nil"/>
              <w:bottom w:val="nil"/>
              <w:right w:val="nil"/>
            </w:tcBorders>
          </w:tcPr>
          <w:p w14:paraId="035F1093"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(1)</w:t>
            </w:r>
          </w:p>
        </w:tc>
        <w:tc>
          <w:tcPr>
            <w:tcW w:w="1151" w:type="dxa"/>
            <w:tcBorders>
              <w:top w:val="single" w:sz="4" w:space="0" w:color="auto"/>
              <w:left w:val="nil"/>
              <w:bottom w:val="nil"/>
              <w:right w:val="nil"/>
            </w:tcBorders>
          </w:tcPr>
          <w:p w14:paraId="710B822F"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(2)</w:t>
            </w:r>
          </w:p>
        </w:tc>
        <w:tc>
          <w:tcPr>
            <w:tcW w:w="1151" w:type="dxa"/>
            <w:tcBorders>
              <w:top w:val="single" w:sz="4" w:space="0" w:color="auto"/>
              <w:left w:val="nil"/>
              <w:bottom w:val="nil"/>
              <w:right w:val="nil"/>
            </w:tcBorders>
          </w:tcPr>
          <w:p w14:paraId="618E3A69"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(3)</w:t>
            </w:r>
          </w:p>
        </w:tc>
        <w:tc>
          <w:tcPr>
            <w:tcW w:w="1151" w:type="dxa"/>
            <w:tcBorders>
              <w:top w:val="single" w:sz="4" w:space="0" w:color="auto"/>
              <w:left w:val="nil"/>
              <w:bottom w:val="nil"/>
              <w:right w:val="nil"/>
            </w:tcBorders>
          </w:tcPr>
          <w:p w14:paraId="2863B95E"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(1)</w:t>
            </w:r>
          </w:p>
        </w:tc>
        <w:tc>
          <w:tcPr>
            <w:tcW w:w="1151" w:type="dxa"/>
            <w:tcBorders>
              <w:top w:val="single" w:sz="4" w:space="0" w:color="auto"/>
              <w:left w:val="nil"/>
              <w:bottom w:val="nil"/>
              <w:right w:val="nil"/>
            </w:tcBorders>
          </w:tcPr>
          <w:p w14:paraId="14CB2238"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(2)</w:t>
            </w:r>
          </w:p>
        </w:tc>
        <w:tc>
          <w:tcPr>
            <w:tcW w:w="1151" w:type="dxa"/>
            <w:tcBorders>
              <w:top w:val="single" w:sz="4" w:space="0" w:color="auto"/>
              <w:left w:val="nil"/>
              <w:bottom w:val="nil"/>
              <w:right w:val="nil"/>
            </w:tcBorders>
          </w:tcPr>
          <w:p w14:paraId="4FEC745E" w14:textId="77777777" w:rsidR="00AA5C6B" w:rsidRPr="00066FD9" w:rsidRDefault="00AA5C6B" w:rsidP="00FE27B1">
            <w:pPr>
              <w:widowControl w:val="0"/>
              <w:autoSpaceDE w:val="0"/>
              <w:autoSpaceDN w:val="0"/>
              <w:adjustRightInd w:val="0"/>
              <w:spacing w:before="100" w:beforeAutospacing="1" w:after="100" w:afterAutospacing="1"/>
              <w:ind w:left="-75" w:right="-95"/>
              <w:contextualSpacing/>
              <w:jc w:val="center"/>
            </w:pPr>
            <w:r w:rsidRPr="00066FD9">
              <w:t>(3)</w:t>
            </w:r>
          </w:p>
        </w:tc>
      </w:tr>
      <w:tr w:rsidR="00BB55D2" w:rsidRPr="007C21F3" w14:paraId="5EDDC061" w14:textId="77777777" w:rsidTr="00FE27B1">
        <w:trPr>
          <w:jc w:val="center"/>
        </w:trPr>
        <w:tc>
          <w:tcPr>
            <w:tcW w:w="2585" w:type="dxa"/>
            <w:tcBorders>
              <w:top w:val="nil"/>
              <w:left w:val="nil"/>
              <w:bottom w:val="nil"/>
              <w:right w:val="nil"/>
            </w:tcBorders>
          </w:tcPr>
          <w:p w14:paraId="518A050A" w14:textId="71E3F2CF" w:rsidR="00BB55D2" w:rsidRPr="007C21F3" w:rsidRDefault="00BB55D2" w:rsidP="00BB55D2">
            <w:pPr>
              <w:widowControl w:val="0"/>
              <w:autoSpaceDE w:val="0"/>
              <w:autoSpaceDN w:val="0"/>
              <w:adjustRightInd w:val="0"/>
              <w:spacing w:before="100" w:beforeAutospacing="1" w:after="100" w:afterAutospacing="1"/>
              <w:contextualSpacing/>
            </w:pPr>
            <w:r w:rsidRPr="007C21F3">
              <w:t>Treat. X Older X Owner</w:t>
            </w:r>
          </w:p>
        </w:tc>
        <w:tc>
          <w:tcPr>
            <w:tcW w:w="1150" w:type="dxa"/>
            <w:tcBorders>
              <w:top w:val="nil"/>
              <w:left w:val="nil"/>
              <w:bottom w:val="nil"/>
              <w:right w:val="nil"/>
            </w:tcBorders>
          </w:tcPr>
          <w:p w14:paraId="36F02B99" w14:textId="212C9B79"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0.0186</w:t>
            </w:r>
          </w:p>
        </w:tc>
        <w:tc>
          <w:tcPr>
            <w:tcW w:w="1151" w:type="dxa"/>
            <w:tcBorders>
              <w:top w:val="nil"/>
              <w:left w:val="nil"/>
              <w:bottom w:val="nil"/>
              <w:right w:val="nil"/>
            </w:tcBorders>
          </w:tcPr>
          <w:p w14:paraId="36C553B1" w14:textId="475542DB"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0.0186</w:t>
            </w:r>
          </w:p>
        </w:tc>
        <w:tc>
          <w:tcPr>
            <w:tcW w:w="1151" w:type="dxa"/>
            <w:tcBorders>
              <w:top w:val="nil"/>
              <w:left w:val="nil"/>
              <w:bottom w:val="nil"/>
              <w:right w:val="nil"/>
            </w:tcBorders>
          </w:tcPr>
          <w:p w14:paraId="4B286F3D" w14:textId="2CF2937E"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0.0186</w:t>
            </w:r>
          </w:p>
        </w:tc>
        <w:tc>
          <w:tcPr>
            <w:tcW w:w="1151" w:type="dxa"/>
            <w:tcBorders>
              <w:top w:val="nil"/>
              <w:left w:val="nil"/>
              <w:bottom w:val="nil"/>
              <w:right w:val="nil"/>
            </w:tcBorders>
          </w:tcPr>
          <w:p w14:paraId="69404B01" w14:textId="71110AA2"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0.691***</w:t>
            </w:r>
          </w:p>
        </w:tc>
        <w:tc>
          <w:tcPr>
            <w:tcW w:w="1151" w:type="dxa"/>
            <w:tcBorders>
              <w:top w:val="nil"/>
              <w:left w:val="nil"/>
              <w:bottom w:val="nil"/>
              <w:right w:val="nil"/>
            </w:tcBorders>
          </w:tcPr>
          <w:p w14:paraId="628A4904" w14:textId="35D1DC18"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0.691***</w:t>
            </w:r>
          </w:p>
        </w:tc>
        <w:tc>
          <w:tcPr>
            <w:tcW w:w="1151" w:type="dxa"/>
            <w:tcBorders>
              <w:top w:val="nil"/>
              <w:left w:val="nil"/>
              <w:bottom w:val="nil"/>
              <w:right w:val="nil"/>
            </w:tcBorders>
          </w:tcPr>
          <w:p w14:paraId="6E200E9E" w14:textId="4EF54648"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0.691***</w:t>
            </w:r>
          </w:p>
        </w:tc>
      </w:tr>
      <w:tr w:rsidR="00BB55D2" w:rsidRPr="007C21F3" w14:paraId="5AE97C26" w14:textId="77777777" w:rsidTr="00FE27B1">
        <w:trPr>
          <w:jc w:val="center"/>
        </w:trPr>
        <w:tc>
          <w:tcPr>
            <w:tcW w:w="2585" w:type="dxa"/>
            <w:tcBorders>
              <w:top w:val="nil"/>
              <w:left w:val="nil"/>
              <w:bottom w:val="nil"/>
              <w:right w:val="nil"/>
            </w:tcBorders>
          </w:tcPr>
          <w:p w14:paraId="7C2A222D" w14:textId="77777777" w:rsidR="00BB55D2" w:rsidRPr="007C21F3" w:rsidRDefault="00BB55D2" w:rsidP="00BB55D2">
            <w:pPr>
              <w:widowControl w:val="0"/>
              <w:autoSpaceDE w:val="0"/>
              <w:autoSpaceDN w:val="0"/>
              <w:adjustRightInd w:val="0"/>
              <w:spacing w:before="100" w:beforeAutospacing="1" w:after="100" w:afterAutospacing="1"/>
              <w:contextualSpacing/>
            </w:pPr>
          </w:p>
        </w:tc>
        <w:tc>
          <w:tcPr>
            <w:tcW w:w="1150" w:type="dxa"/>
            <w:tcBorders>
              <w:top w:val="nil"/>
              <w:left w:val="nil"/>
              <w:bottom w:val="nil"/>
              <w:right w:val="nil"/>
            </w:tcBorders>
          </w:tcPr>
          <w:p w14:paraId="776E097D" w14:textId="32960F8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(0.0492)</w:t>
            </w:r>
          </w:p>
        </w:tc>
        <w:tc>
          <w:tcPr>
            <w:tcW w:w="1151" w:type="dxa"/>
            <w:tcBorders>
              <w:top w:val="nil"/>
              <w:left w:val="nil"/>
              <w:bottom w:val="nil"/>
              <w:right w:val="nil"/>
            </w:tcBorders>
          </w:tcPr>
          <w:p w14:paraId="536EE50A" w14:textId="41DE599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(0.0502)</w:t>
            </w:r>
          </w:p>
        </w:tc>
        <w:tc>
          <w:tcPr>
            <w:tcW w:w="1151" w:type="dxa"/>
            <w:tcBorders>
              <w:top w:val="nil"/>
              <w:left w:val="nil"/>
              <w:bottom w:val="nil"/>
              <w:right w:val="nil"/>
            </w:tcBorders>
          </w:tcPr>
          <w:p w14:paraId="6055885F" w14:textId="0A1F4AB3"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(0.0541)</w:t>
            </w:r>
          </w:p>
        </w:tc>
        <w:tc>
          <w:tcPr>
            <w:tcW w:w="1151" w:type="dxa"/>
            <w:tcBorders>
              <w:top w:val="nil"/>
              <w:left w:val="nil"/>
              <w:bottom w:val="nil"/>
              <w:right w:val="nil"/>
            </w:tcBorders>
          </w:tcPr>
          <w:p w14:paraId="4C5D9940" w14:textId="6D8176E3"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(0.135)</w:t>
            </w:r>
          </w:p>
        </w:tc>
        <w:tc>
          <w:tcPr>
            <w:tcW w:w="1151" w:type="dxa"/>
            <w:tcBorders>
              <w:top w:val="nil"/>
              <w:left w:val="nil"/>
              <w:bottom w:val="nil"/>
              <w:right w:val="nil"/>
            </w:tcBorders>
          </w:tcPr>
          <w:p w14:paraId="3DCD05F1" w14:textId="1ABAD5B5"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(0.140)</w:t>
            </w:r>
          </w:p>
        </w:tc>
        <w:tc>
          <w:tcPr>
            <w:tcW w:w="1151" w:type="dxa"/>
            <w:tcBorders>
              <w:top w:val="nil"/>
              <w:left w:val="nil"/>
              <w:bottom w:val="nil"/>
              <w:right w:val="nil"/>
            </w:tcBorders>
          </w:tcPr>
          <w:p w14:paraId="7D69B248" w14:textId="0CA54252"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(0.152)</w:t>
            </w:r>
          </w:p>
        </w:tc>
      </w:tr>
      <w:tr w:rsidR="00BB55D2" w:rsidRPr="007C21F3" w14:paraId="67C0C1C0" w14:textId="77777777" w:rsidTr="00FE27B1">
        <w:trPr>
          <w:jc w:val="center"/>
        </w:trPr>
        <w:tc>
          <w:tcPr>
            <w:tcW w:w="2585" w:type="dxa"/>
            <w:tcBorders>
              <w:top w:val="nil"/>
              <w:left w:val="nil"/>
              <w:bottom w:val="nil"/>
              <w:right w:val="nil"/>
            </w:tcBorders>
          </w:tcPr>
          <w:p w14:paraId="4A4CB1B8" w14:textId="74F9D532" w:rsidR="00BB55D2" w:rsidRPr="004B3AE7" w:rsidRDefault="00BB55D2" w:rsidP="00BB55D2">
            <w:pPr>
              <w:widowControl w:val="0"/>
              <w:autoSpaceDE w:val="0"/>
              <w:autoSpaceDN w:val="0"/>
              <w:adjustRightInd w:val="0"/>
              <w:spacing w:before="100" w:beforeAutospacing="1" w:after="100" w:afterAutospacing="1"/>
              <w:contextualSpacing/>
            </w:pPr>
            <w:r w:rsidRPr="004B3AE7">
              <w:t>Treatment X Older</w:t>
            </w:r>
          </w:p>
        </w:tc>
        <w:tc>
          <w:tcPr>
            <w:tcW w:w="1150" w:type="dxa"/>
            <w:tcBorders>
              <w:top w:val="nil"/>
              <w:left w:val="nil"/>
              <w:bottom w:val="nil"/>
              <w:right w:val="nil"/>
            </w:tcBorders>
          </w:tcPr>
          <w:p w14:paraId="7B4AB99B" w14:textId="3AEDF4CB"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0.141***</w:t>
            </w:r>
          </w:p>
        </w:tc>
        <w:tc>
          <w:tcPr>
            <w:tcW w:w="1151" w:type="dxa"/>
            <w:tcBorders>
              <w:top w:val="nil"/>
              <w:left w:val="nil"/>
              <w:bottom w:val="nil"/>
              <w:right w:val="nil"/>
            </w:tcBorders>
          </w:tcPr>
          <w:p w14:paraId="7CBF605F" w14:textId="55D4E1A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0.141***</w:t>
            </w:r>
          </w:p>
        </w:tc>
        <w:tc>
          <w:tcPr>
            <w:tcW w:w="1151" w:type="dxa"/>
            <w:tcBorders>
              <w:top w:val="nil"/>
              <w:left w:val="nil"/>
              <w:bottom w:val="nil"/>
              <w:right w:val="nil"/>
            </w:tcBorders>
          </w:tcPr>
          <w:p w14:paraId="54E12076" w14:textId="62E13EDF"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0.161**</w:t>
            </w:r>
          </w:p>
        </w:tc>
        <w:tc>
          <w:tcPr>
            <w:tcW w:w="1151" w:type="dxa"/>
            <w:tcBorders>
              <w:top w:val="nil"/>
              <w:left w:val="nil"/>
              <w:bottom w:val="nil"/>
              <w:right w:val="nil"/>
            </w:tcBorders>
          </w:tcPr>
          <w:p w14:paraId="5BA723C2" w14:textId="7635D93C"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-0.0974</w:t>
            </w:r>
          </w:p>
        </w:tc>
        <w:tc>
          <w:tcPr>
            <w:tcW w:w="1151" w:type="dxa"/>
            <w:tcBorders>
              <w:top w:val="nil"/>
              <w:left w:val="nil"/>
              <w:bottom w:val="nil"/>
              <w:right w:val="nil"/>
            </w:tcBorders>
          </w:tcPr>
          <w:p w14:paraId="3613C1F6" w14:textId="0ADBC60A"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-0.0974</w:t>
            </w:r>
          </w:p>
        </w:tc>
        <w:tc>
          <w:tcPr>
            <w:tcW w:w="1151" w:type="dxa"/>
            <w:tcBorders>
              <w:top w:val="nil"/>
              <w:left w:val="nil"/>
              <w:bottom w:val="nil"/>
              <w:right w:val="nil"/>
            </w:tcBorders>
          </w:tcPr>
          <w:p w14:paraId="2F04D734" w14:textId="2C492F32"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0.0231</w:t>
            </w:r>
          </w:p>
        </w:tc>
      </w:tr>
      <w:tr w:rsidR="00BB55D2" w:rsidRPr="007C21F3" w14:paraId="120608E0" w14:textId="77777777" w:rsidTr="00FE27B1">
        <w:trPr>
          <w:jc w:val="center"/>
        </w:trPr>
        <w:tc>
          <w:tcPr>
            <w:tcW w:w="2585" w:type="dxa"/>
            <w:tcBorders>
              <w:top w:val="nil"/>
              <w:left w:val="nil"/>
              <w:bottom w:val="nil"/>
              <w:right w:val="nil"/>
            </w:tcBorders>
          </w:tcPr>
          <w:p w14:paraId="68D5D71D" w14:textId="77777777" w:rsidR="00BB55D2" w:rsidRPr="004B3AE7" w:rsidRDefault="00BB55D2" w:rsidP="00BB55D2">
            <w:pPr>
              <w:widowControl w:val="0"/>
              <w:autoSpaceDE w:val="0"/>
              <w:autoSpaceDN w:val="0"/>
              <w:adjustRightInd w:val="0"/>
              <w:spacing w:before="100" w:beforeAutospacing="1" w:after="100" w:afterAutospacing="1"/>
              <w:contextualSpacing/>
            </w:pPr>
          </w:p>
        </w:tc>
        <w:tc>
          <w:tcPr>
            <w:tcW w:w="1150" w:type="dxa"/>
            <w:tcBorders>
              <w:top w:val="nil"/>
              <w:left w:val="nil"/>
              <w:bottom w:val="nil"/>
              <w:right w:val="nil"/>
            </w:tcBorders>
          </w:tcPr>
          <w:p w14:paraId="6EAA50BE" w14:textId="0EA46889"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(0.0490)</w:t>
            </w:r>
          </w:p>
        </w:tc>
        <w:tc>
          <w:tcPr>
            <w:tcW w:w="1151" w:type="dxa"/>
            <w:tcBorders>
              <w:top w:val="nil"/>
              <w:left w:val="nil"/>
              <w:bottom w:val="nil"/>
              <w:right w:val="nil"/>
            </w:tcBorders>
          </w:tcPr>
          <w:p w14:paraId="16E887BB" w14:textId="544AFB4D"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(0.0500)</w:t>
            </w:r>
          </w:p>
        </w:tc>
        <w:tc>
          <w:tcPr>
            <w:tcW w:w="1151" w:type="dxa"/>
            <w:tcBorders>
              <w:top w:val="nil"/>
              <w:left w:val="nil"/>
              <w:bottom w:val="nil"/>
              <w:right w:val="nil"/>
            </w:tcBorders>
          </w:tcPr>
          <w:p w14:paraId="71ABCA67" w14:textId="5B97A74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(0.0778)</w:t>
            </w:r>
          </w:p>
        </w:tc>
        <w:tc>
          <w:tcPr>
            <w:tcW w:w="1151" w:type="dxa"/>
            <w:tcBorders>
              <w:top w:val="nil"/>
              <w:left w:val="nil"/>
              <w:bottom w:val="nil"/>
              <w:right w:val="nil"/>
            </w:tcBorders>
          </w:tcPr>
          <w:p w14:paraId="6680B778" w14:textId="63F8C3ED"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(0.0956)</w:t>
            </w:r>
          </w:p>
        </w:tc>
        <w:tc>
          <w:tcPr>
            <w:tcW w:w="1151" w:type="dxa"/>
            <w:tcBorders>
              <w:top w:val="nil"/>
              <w:left w:val="nil"/>
              <w:bottom w:val="nil"/>
              <w:right w:val="nil"/>
            </w:tcBorders>
          </w:tcPr>
          <w:p w14:paraId="730B5FB7" w14:textId="59814E5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(0.0991)</w:t>
            </w:r>
          </w:p>
        </w:tc>
        <w:tc>
          <w:tcPr>
            <w:tcW w:w="1151" w:type="dxa"/>
            <w:tcBorders>
              <w:top w:val="nil"/>
              <w:left w:val="nil"/>
              <w:bottom w:val="nil"/>
              <w:right w:val="nil"/>
            </w:tcBorders>
          </w:tcPr>
          <w:p w14:paraId="1663E99E" w14:textId="50A7210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(0.146)</w:t>
            </w:r>
          </w:p>
        </w:tc>
      </w:tr>
      <w:tr w:rsidR="00BB55D2" w:rsidRPr="007C21F3" w14:paraId="2EBA31FF" w14:textId="77777777" w:rsidTr="00FE27B1">
        <w:trPr>
          <w:jc w:val="center"/>
        </w:trPr>
        <w:tc>
          <w:tcPr>
            <w:tcW w:w="2585" w:type="dxa"/>
            <w:tcBorders>
              <w:top w:val="nil"/>
              <w:left w:val="nil"/>
              <w:bottom w:val="nil"/>
              <w:right w:val="nil"/>
            </w:tcBorders>
          </w:tcPr>
          <w:p w14:paraId="0C8F2EE1" w14:textId="3081D824" w:rsidR="00BB55D2" w:rsidRPr="007C21F3" w:rsidRDefault="00BB55D2" w:rsidP="00BB55D2">
            <w:pPr>
              <w:widowControl w:val="0"/>
              <w:autoSpaceDE w:val="0"/>
              <w:autoSpaceDN w:val="0"/>
              <w:adjustRightInd w:val="0"/>
              <w:spacing w:before="100" w:beforeAutospacing="1" w:after="100" w:afterAutospacing="1"/>
              <w:contextualSpacing/>
            </w:pPr>
            <w:r w:rsidRPr="007C21F3">
              <w:t>Treatment  X Owner</w:t>
            </w:r>
          </w:p>
        </w:tc>
        <w:tc>
          <w:tcPr>
            <w:tcW w:w="1150" w:type="dxa"/>
            <w:tcBorders>
              <w:top w:val="nil"/>
              <w:left w:val="nil"/>
              <w:bottom w:val="nil"/>
              <w:right w:val="nil"/>
            </w:tcBorders>
          </w:tcPr>
          <w:p w14:paraId="6C06155F" w14:textId="36AA863F"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-0.0270</w:t>
            </w:r>
          </w:p>
        </w:tc>
        <w:tc>
          <w:tcPr>
            <w:tcW w:w="1151" w:type="dxa"/>
            <w:tcBorders>
              <w:top w:val="nil"/>
              <w:left w:val="nil"/>
              <w:bottom w:val="nil"/>
              <w:right w:val="nil"/>
            </w:tcBorders>
          </w:tcPr>
          <w:p w14:paraId="406EE116" w14:textId="0C1A48BA"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-0.0270</w:t>
            </w:r>
          </w:p>
        </w:tc>
        <w:tc>
          <w:tcPr>
            <w:tcW w:w="1151" w:type="dxa"/>
            <w:tcBorders>
              <w:top w:val="nil"/>
              <w:left w:val="nil"/>
              <w:bottom w:val="nil"/>
              <w:right w:val="nil"/>
            </w:tcBorders>
          </w:tcPr>
          <w:p w14:paraId="78BDE154" w14:textId="6764D079"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0.134**</w:t>
            </w:r>
          </w:p>
        </w:tc>
        <w:tc>
          <w:tcPr>
            <w:tcW w:w="1151" w:type="dxa"/>
            <w:tcBorders>
              <w:top w:val="nil"/>
              <w:left w:val="nil"/>
              <w:bottom w:val="nil"/>
              <w:right w:val="nil"/>
            </w:tcBorders>
          </w:tcPr>
          <w:p w14:paraId="277A59A4" w14:textId="219EA80C"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-0.334***</w:t>
            </w:r>
          </w:p>
        </w:tc>
        <w:tc>
          <w:tcPr>
            <w:tcW w:w="1151" w:type="dxa"/>
            <w:tcBorders>
              <w:top w:val="nil"/>
              <w:left w:val="nil"/>
              <w:bottom w:val="nil"/>
              <w:right w:val="nil"/>
            </w:tcBorders>
          </w:tcPr>
          <w:p w14:paraId="1BCDA174" w14:textId="5EA1920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-0.334***</w:t>
            </w:r>
          </w:p>
        </w:tc>
        <w:tc>
          <w:tcPr>
            <w:tcW w:w="1151" w:type="dxa"/>
            <w:tcBorders>
              <w:top w:val="nil"/>
              <w:left w:val="nil"/>
              <w:bottom w:val="nil"/>
              <w:right w:val="nil"/>
            </w:tcBorders>
          </w:tcPr>
          <w:p w14:paraId="3AB78D72" w14:textId="776BDCD3"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-0.00108</w:t>
            </w:r>
          </w:p>
        </w:tc>
      </w:tr>
      <w:tr w:rsidR="00BB55D2" w:rsidRPr="007C21F3" w14:paraId="1FDD7EE5" w14:textId="77777777" w:rsidTr="00FE27B1">
        <w:trPr>
          <w:jc w:val="center"/>
        </w:trPr>
        <w:tc>
          <w:tcPr>
            <w:tcW w:w="2585" w:type="dxa"/>
            <w:tcBorders>
              <w:top w:val="nil"/>
              <w:left w:val="nil"/>
              <w:bottom w:val="nil"/>
              <w:right w:val="nil"/>
            </w:tcBorders>
          </w:tcPr>
          <w:p w14:paraId="381CC679" w14:textId="77777777" w:rsidR="00BB55D2" w:rsidRPr="007C21F3" w:rsidRDefault="00BB55D2" w:rsidP="00BB55D2">
            <w:pPr>
              <w:widowControl w:val="0"/>
              <w:autoSpaceDE w:val="0"/>
              <w:autoSpaceDN w:val="0"/>
              <w:adjustRightInd w:val="0"/>
              <w:spacing w:before="100" w:beforeAutospacing="1" w:after="100" w:afterAutospacing="1"/>
              <w:contextualSpacing/>
            </w:pPr>
          </w:p>
        </w:tc>
        <w:tc>
          <w:tcPr>
            <w:tcW w:w="1150" w:type="dxa"/>
            <w:tcBorders>
              <w:top w:val="nil"/>
              <w:left w:val="nil"/>
              <w:bottom w:val="nil"/>
              <w:right w:val="nil"/>
            </w:tcBorders>
          </w:tcPr>
          <w:p w14:paraId="42F6EAB2" w14:textId="00037308"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(0.0331)</w:t>
            </w:r>
          </w:p>
        </w:tc>
        <w:tc>
          <w:tcPr>
            <w:tcW w:w="1151" w:type="dxa"/>
            <w:tcBorders>
              <w:top w:val="nil"/>
              <w:left w:val="nil"/>
              <w:bottom w:val="nil"/>
              <w:right w:val="nil"/>
            </w:tcBorders>
          </w:tcPr>
          <w:p w14:paraId="1596873B" w14:textId="1F60AE6F"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(0.0337)</w:t>
            </w:r>
          </w:p>
        </w:tc>
        <w:tc>
          <w:tcPr>
            <w:tcW w:w="1151" w:type="dxa"/>
            <w:tcBorders>
              <w:top w:val="nil"/>
              <w:left w:val="nil"/>
              <w:bottom w:val="nil"/>
              <w:right w:val="nil"/>
            </w:tcBorders>
          </w:tcPr>
          <w:p w14:paraId="4ACEB0BC" w14:textId="5B109877"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(0.0637)</w:t>
            </w:r>
          </w:p>
        </w:tc>
        <w:tc>
          <w:tcPr>
            <w:tcW w:w="1151" w:type="dxa"/>
            <w:tcBorders>
              <w:top w:val="nil"/>
              <w:left w:val="nil"/>
              <w:bottom w:val="nil"/>
              <w:right w:val="nil"/>
            </w:tcBorders>
          </w:tcPr>
          <w:p w14:paraId="765EEF04" w14:textId="26B5E11D"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(0.0869)</w:t>
            </w:r>
          </w:p>
        </w:tc>
        <w:tc>
          <w:tcPr>
            <w:tcW w:w="1151" w:type="dxa"/>
            <w:tcBorders>
              <w:top w:val="nil"/>
              <w:left w:val="nil"/>
              <w:bottom w:val="nil"/>
              <w:right w:val="nil"/>
            </w:tcBorders>
          </w:tcPr>
          <w:p w14:paraId="33045AAC" w14:textId="2A89E975"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(0.0900)</w:t>
            </w:r>
          </w:p>
        </w:tc>
        <w:tc>
          <w:tcPr>
            <w:tcW w:w="1151" w:type="dxa"/>
            <w:tcBorders>
              <w:top w:val="nil"/>
              <w:left w:val="nil"/>
              <w:bottom w:val="nil"/>
              <w:right w:val="nil"/>
            </w:tcBorders>
          </w:tcPr>
          <w:p w14:paraId="491759D1" w14:textId="07CDF1C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(0.167)</w:t>
            </w:r>
          </w:p>
        </w:tc>
      </w:tr>
      <w:tr w:rsidR="00BB55D2" w:rsidRPr="007C21F3" w14:paraId="40B1CBCC" w14:textId="77777777" w:rsidTr="00FE27B1">
        <w:trPr>
          <w:jc w:val="center"/>
        </w:trPr>
        <w:tc>
          <w:tcPr>
            <w:tcW w:w="2585" w:type="dxa"/>
            <w:tcBorders>
              <w:top w:val="nil"/>
              <w:left w:val="nil"/>
              <w:bottom w:val="nil"/>
              <w:right w:val="nil"/>
            </w:tcBorders>
          </w:tcPr>
          <w:p w14:paraId="0F59D41D" w14:textId="40BCC38D" w:rsidR="00BB55D2" w:rsidRPr="004B3AE7" w:rsidRDefault="00BB55D2" w:rsidP="00BB55D2">
            <w:pPr>
              <w:widowControl w:val="0"/>
              <w:autoSpaceDE w:val="0"/>
              <w:autoSpaceDN w:val="0"/>
              <w:adjustRightInd w:val="0"/>
              <w:spacing w:before="100" w:beforeAutospacing="1" w:after="100" w:afterAutospacing="1"/>
              <w:contextualSpacing/>
            </w:pPr>
            <w:r w:rsidRPr="004B3AE7">
              <w:t>Treatment</w:t>
            </w:r>
          </w:p>
        </w:tc>
        <w:tc>
          <w:tcPr>
            <w:tcW w:w="1150" w:type="dxa"/>
            <w:tcBorders>
              <w:top w:val="nil"/>
              <w:left w:val="nil"/>
              <w:bottom w:val="nil"/>
              <w:right w:val="nil"/>
            </w:tcBorders>
          </w:tcPr>
          <w:p w14:paraId="042B0380" w14:textId="02C0B1E4"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-0.122**</w:t>
            </w:r>
          </w:p>
        </w:tc>
        <w:tc>
          <w:tcPr>
            <w:tcW w:w="1151" w:type="dxa"/>
            <w:tcBorders>
              <w:top w:val="nil"/>
              <w:left w:val="nil"/>
              <w:bottom w:val="nil"/>
              <w:right w:val="nil"/>
            </w:tcBorders>
          </w:tcPr>
          <w:p w14:paraId="01320A5D" w14:textId="35752875"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-1.600***</w:t>
            </w:r>
          </w:p>
        </w:tc>
        <w:tc>
          <w:tcPr>
            <w:tcW w:w="1151" w:type="dxa"/>
            <w:tcBorders>
              <w:top w:val="nil"/>
              <w:left w:val="nil"/>
              <w:bottom w:val="nil"/>
              <w:right w:val="nil"/>
            </w:tcBorders>
          </w:tcPr>
          <w:p w14:paraId="77C4427C" w14:textId="6A9DE5EC"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0.0504</w:t>
            </w:r>
          </w:p>
        </w:tc>
        <w:tc>
          <w:tcPr>
            <w:tcW w:w="1151" w:type="dxa"/>
            <w:tcBorders>
              <w:top w:val="nil"/>
              <w:left w:val="nil"/>
              <w:bottom w:val="nil"/>
              <w:right w:val="nil"/>
            </w:tcBorders>
          </w:tcPr>
          <w:p w14:paraId="3F3791CC" w14:textId="468A824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-0.0549</w:t>
            </w:r>
          </w:p>
        </w:tc>
        <w:tc>
          <w:tcPr>
            <w:tcW w:w="1151" w:type="dxa"/>
            <w:tcBorders>
              <w:top w:val="nil"/>
              <w:left w:val="nil"/>
              <w:bottom w:val="nil"/>
              <w:right w:val="nil"/>
            </w:tcBorders>
          </w:tcPr>
          <w:p w14:paraId="51E12323" w14:textId="4AB494B7"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0.491***</w:t>
            </w:r>
          </w:p>
        </w:tc>
        <w:tc>
          <w:tcPr>
            <w:tcW w:w="1151" w:type="dxa"/>
            <w:tcBorders>
              <w:top w:val="nil"/>
              <w:left w:val="nil"/>
              <w:bottom w:val="nil"/>
              <w:right w:val="nil"/>
            </w:tcBorders>
          </w:tcPr>
          <w:p w14:paraId="450DE25C" w14:textId="0CBA0FCB"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0.327***</w:t>
            </w:r>
          </w:p>
        </w:tc>
      </w:tr>
      <w:tr w:rsidR="00BB55D2" w:rsidRPr="007C21F3" w14:paraId="443B929E" w14:textId="77777777" w:rsidTr="00FE27B1">
        <w:trPr>
          <w:jc w:val="center"/>
        </w:trPr>
        <w:tc>
          <w:tcPr>
            <w:tcW w:w="2585" w:type="dxa"/>
            <w:tcBorders>
              <w:top w:val="nil"/>
              <w:left w:val="nil"/>
              <w:bottom w:val="nil"/>
              <w:right w:val="nil"/>
            </w:tcBorders>
          </w:tcPr>
          <w:p w14:paraId="7FE42BEB" w14:textId="77777777" w:rsidR="00BB55D2" w:rsidRPr="00066FD9" w:rsidRDefault="00BB55D2" w:rsidP="00BB55D2">
            <w:pPr>
              <w:widowControl w:val="0"/>
              <w:autoSpaceDE w:val="0"/>
              <w:autoSpaceDN w:val="0"/>
              <w:adjustRightInd w:val="0"/>
              <w:spacing w:before="100" w:beforeAutospacing="1" w:after="100" w:afterAutospacing="1"/>
              <w:contextualSpacing/>
            </w:pPr>
          </w:p>
        </w:tc>
        <w:tc>
          <w:tcPr>
            <w:tcW w:w="1150" w:type="dxa"/>
            <w:tcBorders>
              <w:top w:val="nil"/>
              <w:left w:val="nil"/>
              <w:bottom w:val="nil"/>
              <w:right w:val="nil"/>
            </w:tcBorders>
          </w:tcPr>
          <w:p w14:paraId="6F75DC44" w14:textId="58FC9405"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(0.0479)</w:t>
            </w:r>
          </w:p>
        </w:tc>
        <w:tc>
          <w:tcPr>
            <w:tcW w:w="1151" w:type="dxa"/>
            <w:tcBorders>
              <w:top w:val="nil"/>
              <w:left w:val="nil"/>
              <w:bottom w:val="nil"/>
              <w:right w:val="nil"/>
            </w:tcBorders>
          </w:tcPr>
          <w:p w14:paraId="17900D53" w14:textId="6CC7634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(0.237)</w:t>
            </w:r>
          </w:p>
        </w:tc>
        <w:tc>
          <w:tcPr>
            <w:tcW w:w="1151" w:type="dxa"/>
            <w:tcBorders>
              <w:top w:val="nil"/>
              <w:left w:val="nil"/>
              <w:bottom w:val="nil"/>
              <w:right w:val="nil"/>
            </w:tcBorders>
          </w:tcPr>
          <w:p w14:paraId="0C5BDCEE" w14:textId="38385E01"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(0.257)</w:t>
            </w:r>
          </w:p>
        </w:tc>
        <w:tc>
          <w:tcPr>
            <w:tcW w:w="1151" w:type="dxa"/>
            <w:tcBorders>
              <w:top w:val="nil"/>
              <w:left w:val="nil"/>
              <w:bottom w:val="nil"/>
              <w:right w:val="nil"/>
            </w:tcBorders>
          </w:tcPr>
          <w:p w14:paraId="3B375DA5" w14:textId="657B23A7"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(0.128)</w:t>
            </w:r>
          </w:p>
        </w:tc>
        <w:tc>
          <w:tcPr>
            <w:tcW w:w="1151" w:type="dxa"/>
            <w:tcBorders>
              <w:top w:val="nil"/>
              <w:left w:val="nil"/>
              <w:bottom w:val="nil"/>
              <w:right w:val="nil"/>
            </w:tcBorders>
          </w:tcPr>
          <w:p w14:paraId="56104BD8" w14:textId="4013AEF6"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(0.0735)</w:t>
            </w:r>
          </w:p>
        </w:tc>
        <w:tc>
          <w:tcPr>
            <w:tcW w:w="1151" w:type="dxa"/>
            <w:tcBorders>
              <w:top w:val="nil"/>
              <w:left w:val="nil"/>
              <w:bottom w:val="nil"/>
              <w:right w:val="nil"/>
            </w:tcBorders>
          </w:tcPr>
          <w:p w14:paraId="4A3A938E" w14:textId="4E2BDF6B" w:rsidR="00BB55D2" w:rsidRPr="007C21F3" w:rsidRDefault="00BB55D2" w:rsidP="00BB55D2">
            <w:pPr>
              <w:widowControl w:val="0"/>
              <w:autoSpaceDE w:val="0"/>
              <w:autoSpaceDN w:val="0"/>
              <w:adjustRightInd w:val="0"/>
              <w:spacing w:before="100" w:beforeAutospacing="1" w:after="100" w:afterAutospacing="1"/>
              <w:ind w:left="-75" w:right="-95"/>
              <w:contextualSpacing/>
              <w:jc w:val="center"/>
            </w:pPr>
            <w:r w:rsidRPr="007C21F3">
              <w:t>(0.104)</w:t>
            </w:r>
          </w:p>
        </w:tc>
      </w:tr>
      <w:tr w:rsidR="00FE27B1" w:rsidRPr="00066FD9" w14:paraId="2822EDAF" w14:textId="77777777" w:rsidTr="00FE27B1">
        <w:trPr>
          <w:jc w:val="center"/>
        </w:trPr>
        <w:tc>
          <w:tcPr>
            <w:tcW w:w="2585" w:type="dxa"/>
            <w:tcBorders>
              <w:top w:val="nil"/>
              <w:left w:val="nil"/>
              <w:bottom w:val="nil"/>
              <w:right w:val="nil"/>
            </w:tcBorders>
          </w:tcPr>
          <w:p w14:paraId="3C747DAF" w14:textId="0A8D6D55" w:rsidR="00FE27B1" w:rsidRDefault="00FE27B1" w:rsidP="00FE27B1">
            <w:pPr>
              <w:widowControl w:val="0"/>
              <w:autoSpaceDE w:val="0"/>
              <w:autoSpaceDN w:val="0"/>
              <w:adjustRightInd w:val="0"/>
              <w:spacing w:before="100" w:beforeAutospacing="1" w:after="100" w:afterAutospacing="1"/>
              <w:contextualSpacing/>
            </w:pPr>
            <w:r>
              <w:t>Year FE</w:t>
            </w:r>
          </w:p>
        </w:tc>
        <w:tc>
          <w:tcPr>
            <w:tcW w:w="1150" w:type="dxa"/>
            <w:tcBorders>
              <w:top w:val="nil"/>
              <w:left w:val="nil"/>
              <w:bottom w:val="nil"/>
              <w:right w:val="nil"/>
            </w:tcBorders>
          </w:tcPr>
          <w:p w14:paraId="5C066496" w14:textId="6EA7FF29"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7C4DA94D" w14:textId="3DF4CB52"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4A64F4DF" w14:textId="7328D357"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1E12D945" w14:textId="0040A68C"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5425DFC4" w14:textId="4B41F8BD"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4C0648C8" w14:textId="3CF04720"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6236C314" w14:textId="77777777" w:rsidTr="00FE27B1">
        <w:trPr>
          <w:jc w:val="center"/>
        </w:trPr>
        <w:tc>
          <w:tcPr>
            <w:tcW w:w="2585" w:type="dxa"/>
            <w:tcBorders>
              <w:top w:val="nil"/>
              <w:left w:val="nil"/>
              <w:bottom w:val="nil"/>
              <w:right w:val="nil"/>
            </w:tcBorders>
          </w:tcPr>
          <w:p w14:paraId="5F0521EC" w14:textId="68E55E08" w:rsidR="00FE27B1" w:rsidRDefault="00FE27B1" w:rsidP="00FE27B1">
            <w:pPr>
              <w:widowControl w:val="0"/>
              <w:autoSpaceDE w:val="0"/>
              <w:autoSpaceDN w:val="0"/>
              <w:adjustRightInd w:val="0"/>
              <w:spacing w:before="100" w:beforeAutospacing="1" w:after="100" w:afterAutospacing="1"/>
              <w:contextualSpacing/>
            </w:pPr>
            <w:r>
              <w:t>Year X Owner FE</w:t>
            </w:r>
          </w:p>
        </w:tc>
        <w:tc>
          <w:tcPr>
            <w:tcW w:w="1150" w:type="dxa"/>
            <w:tcBorders>
              <w:top w:val="nil"/>
              <w:left w:val="nil"/>
              <w:bottom w:val="nil"/>
              <w:right w:val="nil"/>
            </w:tcBorders>
          </w:tcPr>
          <w:p w14:paraId="62F34249" w14:textId="425536B7"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2942C569" w14:textId="5A20F434"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019C0D4A" w14:textId="3D45540B"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5AB66F94" w14:textId="27B60C14"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23E3543D" w14:textId="0DFA2C31"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323746F" w14:textId="517E0DDF"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673D3CA0" w14:textId="77777777" w:rsidTr="00FE27B1">
        <w:trPr>
          <w:jc w:val="center"/>
        </w:trPr>
        <w:tc>
          <w:tcPr>
            <w:tcW w:w="2585" w:type="dxa"/>
            <w:tcBorders>
              <w:top w:val="nil"/>
              <w:left w:val="nil"/>
              <w:bottom w:val="nil"/>
              <w:right w:val="nil"/>
            </w:tcBorders>
          </w:tcPr>
          <w:p w14:paraId="69E6C0A9" w14:textId="6BE6F515" w:rsidR="00FE27B1" w:rsidRPr="00066FD9" w:rsidRDefault="00FE27B1" w:rsidP="00FE27B1">
            <w:pPr>
              <w:widowControl w:val="0"/>
              <w:autoSpaceDE w:val="0"/>
              <w:autoSpaceDN w:val="0"/>
              <w:adjustRightInd w:val="0"/>
              <w:spacing w:before="100" w:beforeAutospacing="1" w:after="100" w:afterAutospacing="1"/>
              <w:contextualSpacing/>
            </w:pPr>
            <w:r>
              <w:t>Year X Older FE</w:t>
            </w:r>
          </w:p>
        </w:tc>
        <w:tc>
          <w:tcPr>
            <w:tcW w:w="1150" w:type="dxa"/>
            <w:tcBorders>
              <w:top w:val="nil"/>
              <w:left w:val="nil"/>
              <w:bottom w:val="nil"/>
              <w:right w:val="nil"/>
            </w:tcBorders>
          </w:tcPr>
          <w:p w14:paraId="547A10E6" w14:textId="16551500"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9E72AE8" w14:textId="591369E7"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46600F0" w14:textId="58D2B901"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383EDE4A" w14:textId="27103F65"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5EE29453" w14:textId="355CCBFA"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35610D05" w14:textId="4409F7D5"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439F9676" w14:textId="77777777" w:rsidTr="00FE27B1">
        <w:trPr>
          <w:jc w:val="center"/>
        </w:trPr>
        <w:tc>
          <w:tcPr>
            <w:tcW w:w="2585" w:type="dxa"/>
            <w:tcBorders>
              <w:top w:val="nil"/>
              <w:left w:val="nil"/>
              <w:bottom w:val="nil"/>
              <w:right w:val="nil"/>
            </w:tcBorders>
          </w:tcPr>
          <w:p w14:paraId="334BAEBA" w14:textId="4D758131" w:rsidR="00FE27B1" w:rsidRDefault="00FE27B1" w:rsidP="00FE27B1">
            <w:pPr>
              <w:widowControl w:val="0"/>
              <w:autoSpaceDE w:val="0"/>
              <w:autoSpaceDN w:val="0"/>
              <w:adjustRightInd w:val="0"/>
              <w:spacing w:before="100" w:beforeAutospacing="1" w:after="100" w:afterAutospacing="1"/>
              <w:contextualSpacing/>
            </w:pPr>
            <w:r>
              <w:t>County FE</w:t>
            </w:r>
          </w:p>
        </w:tc>
        <w:tc>
          <w:tcPr>
            <w:tcW w:w="1150" w:type="dxa"/>
            <w:tcBorders>
              <w:top w:val="nil"/>
              <w:left w:val="nil"/>
              <w:bottom w:val="nil"/>
              <w:right w:val="nil"/>
            </w:tcBorders>
          </w:tcPr>
          <w:p w14:paraId="797ADEEC" w14:textId="2FEA1456"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79C6FD44" w14:textId="15BDC3AE" w:rsidR="00FE27B1" w:rsidRDefault="00DF1D2A"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1EF0B84" w14:textId="2C08A448" w:rsidR="00FE27B1" w:rsidRDefault="00DF1D2A"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2A99C3DC" w14:textId="5D037436"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7FBA0E4" w14:textId="62932F3A" w:rsidR="00FE27B1" w:rsidRDefault="00DF1D2A"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3B584017" w14:textId="4387B271" w:rsidR="00FE27B1" w:rsidRDefault="00DF1D2A"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68C51A3F" w14:textId="77777777" w:rsidTr="00FE27B1">
        <w:trPr>
          <w:jc w:val="center"/>
        </w:trPr>
        <w:tc>
          <w:tcPr>
            <w:tcW w:w="2585" w:type="dxa"/>
            <w:tcBorders>
              <w:top w:val="nil"/>
              <w:left w:val="nil"/>
              <w:bottom w:val="nil"/>
              <w:right w:val="nil"/>
            </w:tcBorders>
          </w:tcPr>
          <w:p w14:paraId="5C5BFA1E" w14:textId="5AF0C200" w:rsidR="00FE27B1" w:rsidRPr="00066FD9" w:rsidRDefault="00FE27B1" w:rsidP="00FE27B1">
            <w:pPr>
              <w:widowControl w:val="0"/>
              <w:autoSpaceDE w:val="0"/>
              <w:autoSpaceDN w:val="0"/>
              <w:adjustRightInd w:val="0"/>
              <w:spacing w:before="100" w:beforeAutospacing="1" w:after="100" w:afterAutospacing="1"/>
              <w:contextualSpacing/>
            </w:pPr>
            <w:r>
              <w:t xml:space="preserve">Treatment X Year </w:t>
            </w:r>
          </w:p>
        </w:tc>
        <w:tc>
          <w:tcPr>
            <w:tcW w:w="1150" w:type="dxa"/>
            <w:tcBorders>
              <w:top w:val="nil"/>
              <w:left w:val="nil"/>
              <w:bottom w:val="nil"/>
              <w:right w:val="nil"/>
            </w:tcBorders>
          </w:tcPr>
          <w:p w14:paraId="4F973527" w14:textId="614F5303"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76DEF45A" w14:textId="3B309233"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2512312" w14:textId="51658EE2"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5DBB4579" w14:textId="40276492"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74652E49" w14:textId="424A012B"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8ADA5F8" w14:textId="2C1B9714"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4C6A7833" w14:textId="77777777" w:rsidTr="00FE27B1">
        <w:trPr>
          <w:jc w:val="center"/>
        </w:trPr>
        <w:tc>
          <w:tcPr>
            <w:tcW w:w="2585" w:type="dxa"/>
            <w:tcBorders>
              <w:top w:val="nil"/>
              <w:left w:val="nil"/>
              <w:bottom w:val="nil"/>
              <w:right w:val="nil"/>
            </w:tcBorders>
          </w:tcPr>
          <w:p w14:paraId="6C8CC617" w14:textId="397FA68B" w:rsidR="00FE27B1" w:rsidRDefault="00FE27B1" w:rsidP="00FE27B1">
            <w:pPr>
              <w:widowControl w:val="0"/>
              <w:autoSpaceDE w:val="0"/>
              <w:autoSpaceDN w:val="0"/>
              <w:adjustRightInd w:val="0"/>
              <w:spacing w:before="100" w:beforeAutospacing="1" w:after="100" w:afterAutospacing="1"/>
              <w:contextualSpacing/>
            </w:pPr>
            <w:r>
              <w:t xml:space="preserve">Treatment X County </w:t>
            </w:r>
          </w:p>
        </w:tc>
        <w:tc>
          <w:tcPr>
            <w:tcW w:w="1150" w:type="dxa"/>
            <w:tcBorders>
              <w:top w:val="nil"/>
              <w:left w:val="nil"/>
              <w:bottom w:val="nil"/>
              <w:right w:val="nil"/>
            </w:tcBorders>
          </w:tcPr>
          <w:p w14:paraId="6F984D13" w14:textId="7124F8E3" w:rsidR="00FE27B1"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40D1C152" w14:textId="326D06DD"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49F24486" w14:textId="1BAD236E"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E3BAB6F" w14:textId="5C34EFF4" w:rsidR="00FE27B1"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022CAA9A" w14:textId="75E637EF"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0699915E" w14:textId="1BFCB2EE" w:rsidR="00FE27B1"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0E0A52D3" w14:textId="77777777" w:rsidTr="00FE27B1">
        <w:trPr>
          <w:jc w:val="center"/>
        </w:trPr>
        <w:tc>
          <w:tcPr>
            <w:tcW w:w="2585" w:type="dxa"/>
            <w:tcBorders>
              <w:top w:val="nil"/>
              <w:left w:val="nil"/>
              <w:bottom w:val="nil"/>
              <w:right w:val="nil"/>
            </w:tcBorders>
          </w:tcPr>
          <w:p w14:paraId="2B921E14" w14:textId="4869058A" w:rsidR="00FE27B1" w:rsidRPr="00066FD9" w:rsidRDefault="00FE27B1" w:rsidP="00FE27B1">
            <w:pPr>
              <w:widowControl w:val="0"/>
              <w:autoSpaceDE w:val="0"/>
              <w:autoSpaceDN w:val="0"/>
              <w:adjustRightInd w:val="0"/>
              <w:spacing w:before="100" w:beforeAutospacing="1" w:after="100" w:afterAutospacing="1"/>
              <w:contextualSpacing/>
            </w:pPr>
            <w:r>
              <w:t xml:space="preserve">County X Older </w:t>
            </w:r>
          </w:p>
        </w:tc>
        <w:tc>
          <w:tcPr>
            <w:tcW w:w="1150" w:type="dxa"/>
            <w:tcBorders>
              <w:top w:val="nil"/>
              <w:left w:val="nil"/>
              <w:bottom w:val="nil"/>
              <w:right w:val="nil"/>
            </w:tcBorders>
          </w:tcPr>
          <w:p w14:paraId="1F989C7D" w14:textId="00065801"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3CB83C3B" w14:textId="0E6ABBD0"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02EB6E97" w14:textId="2FB3DCCD"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1CFE5174" w14:textId="222A7B7C"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63878444" w14:textId="52D01199"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60EA0D3A" w14:textId="133FF459"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2F03B3BB" w14:textId="77777777" w:rsidTr="00FE27B1">
        <w:trPr>
          <w:jc w:val="center"/>
        </w:trPr>
        <w:tc>
          <w:tcPr>
            <w:tcW w:w="2585" w:type="dxa"/>
            <w:tcBorders>
              <w:top w:val="nil"/>
              <w:left w:val="nil"/>
              <w:bottom w:val="nil"/>
              <w:right w:val="nil"/>
            </w:tcBorders>
          </w:tcPr>
          <w:p w14:paraId="3D181995" w14:textId="178DC50A" w:rsidR="00FE27B1" w:rsidRPr="00066FD9" w:rsidRDefault="00FE27B1" w:rsidP="00FE27B1">
            <w:pPr>
              <w:widowControl w:val="0"/>
              <w:autoSpaceDE w:val="0"/>
              <w:autoSpaceDN w:val="0"/>
              <w:adjustRightInd w:val="0"/>
              <w:spacing w:before="100" w:beforeAutospacing="1" w:after="100" w:afterAutospacing="1"/>
              <w:contextualSpacing/>
            </w:pPr>
            <w:r>
              <w:t xml:space="preserve">County X Owner </w:t>
            </w:r>
          </w:p>
        </w:tc>
        <w:tc>
          <w:tcPr>
            <w:tcW w:w="1150" w:type="dxa"/>
            <w:tcBorders>
              <w:top w:val="nil"/>
              <w:left w:val="nil"/>
              <w:bottom w:val="nil"/>
              <w:right w:val="nil"/>
            </w:tcBorders>
          </w:tcPr>
          <w:p w14:paraId="609A340E" w14:textId="34CCC7C8"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16CBEF81" w14:textId="2F191182"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28AFE95A" w14:textId="6FC17780"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7F97F217" w14:textId="6C124A15"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032F58BE" w14:textId="14B0E6B7"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4A6C1237" w14:textId="618FC149"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FE27B1" w:rsidRPr="00066FD9" w14:paraId="0265A293" w14:textId="77777777" w:rsidTr="00FE27B1">
        <w:trPr>
          <w:jc w:val="center"/>
        </w:trPr>
        <w:tc>
          <w:tcPr>
            <w:tcW w:w="2585" w:type="dxa"/>
            <w:tcBorders>
              <w:top w:val="nil"/>
              <w:left w:val="nil"/>
              <w:bottom w:val="nil"/>
              <w:right w:val="nil"/>
            </w:tcBorders>
          </w:tcPr>
          <w:p w14:paraId="3C12DF0E" w14:textId="62F7004F" w:rsidR="00FE27B1" w:rsidRPr="00066FD9" w:rsidRDefault="00FE27B1" w:rsidP="00FE27B1">
            <w:pPr>
              <w:widowControl w:val="0"/>
              <w:autoSpaceDE w:val="0"/>
              <w:autoSpaceDN w:val="0"/>
              <w:adjustRightInd w:val="0"/>
              <w:spacing w:before="100" w:beforeAutospacing="1" w:after="100" w:afterAutospacing="1"/>
              <w:contextualSpacing/>
            </w:pPr>
            <w:r>
              <w:t>Year X Older X Urban</w:t>
            </w:r>
          </w:p>
        </w:tc>
        <w:tc>
          <w:tcPr>
            <w:tcW w:w="1150" w:type="dxa"/>
            <w:tcBorders>
              <w:top w:val="nil"/>
              <w:left w:val="nil"/>
              <w:bottom w:val="nil"/>
              <w:right w:val="nil"/>
            </w:tcBorders>
          </w:tcPr>
          <w:p w14:paraId="3B03F8EC" w14:textId="38D3BB07"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22715199" w14:textId="2DBADDB3"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70542894" w14:textId="74D7F3EA"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c>
          <w:tcPr>
            <w:tcW w:w="1151" w:type="dxa"/>
            <w:tcBorders>
              <w:top w:val="nil"/>
              <w:left w:val="nil"/>
              <w:bottom w:val="nil"/>
              <w:right w:val="nil"/>
            </w:tcBorders>
          </w:tcPr>
          <w:p w14:paraId="67A5B956" w14:textId="1BB55AAF"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5BC416F2" w14:textId="1764BD06"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N</w:t>
            </w:r>
          </w:p>
        </w:tc>
        <w:tc>
          <w:tcPr>
            <w:tcW w:w="1151" w:type="dxa"/>
            <w:tcBorders>
              <w:top w:val="nil"/>
              <w:left w:val="nil"/>
              <w:bottom w:val="nil"/>
              <w:right w:val="nil"/>
            </w:tcBorders>
          </w:tcPr>
          <w:p w14:paraId="0CB121AD" w14:textId="0EB453AB" w:rsidR="00FE27B1" w:rsidRPr="00066FD9" w:rsidRDefault="00FE27B1" w:rsidP="00FE27B1">
            <w:pPr>
              <w:widowControl w:val="0"/>
              <w:autoSpaceDE w:val="0"/>
              <w:autoSpaceDN w:val="0"/>
              <w:adjustRightInd w:val="0"/>
              <w:spacing w:before="100" w:beforeAutospacing="1" w:after="100" w:afterAutospacing="1"/>
              <w:ind w:left="-75" w:right="-95"/>
              <w:contextualSpacing/>
              <w:jc w:val="center"/>
            </w:pPr>
            <w:r>
              <w:t>Y</w:t>
            </w:r>
          </w:p>
        </w:tc>
      </w:tr>
      <w:tr w:rsidR="00AA5C6B" w:rsidRPr="00066FD9" w14:paraId="71F1D75F" w14:textId="77777777" w:rsidTr="00FE27B1">
        <w:trPr>
          <w:jc w:val="center"/>
        </w:trPr>
        <w:tc>
          <w:tcPr>
            <w:tcW w:w="2585" w:type="dxa"/>
            <w:tcBorders>
              <w:top w:val="nil"/>
              <w:left w:val="nil"/>
              <w:bottom w:val="nil"/>
              <w:right w:val="nil"/>
            </w:tcBorders>
          </w:tcPr>
          <w:p w14:paraId="452F6167" w14:textId="77777777" w:rsidR="00AA5C6B" w:rsidRPr="00066FD9" w:rsidRDefault="00AA5C6B" w:rsidP="00AA5C6B">
            <w:pPr>
              <w:widowControl w:val="0"/>
              <w:autoSpaceDE w:val="0"/>
              <w:autoSpaceDN w:val="0"/>
              <w:adjustRightInd w:val="0"/>
              <w:spacing w:before="100" w:beforeAutospacing="1" w:after="100" w:afterAutospacing="1"/>
              <w:contextualSpacing/>
            </w:pPr>
            <w:r w:rsidRPr="00066FD9">
              <w:t>Observations</w:t>
            </w:r>
          </w:p>
        </w:tc>
        <w:tc>
          <w:tcPr>
            <w:tcW w:w="1150" w:type="dxa"/>
            <w:tcBorders>
              <w:top w:val="nil"/>
              <w:left w:val="nil"/>
              <w:bottom w:val="nil"/>
              <w:right w:val="nil"/>
            </w:tcBorders>
          </w:tcPr>
          <w:p w14:paraId="45B88F40"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c>
          <w:tcPr>
            <w:tcW w:w="1151" w:type="dxa"/>
            <w:tcBorders>
              <w:top w:val="nil"/>
              <w:left w:val="nil"/>
              <w:bottom w:val="nil"/>
              <w:right w:val="nil"/>
            </w:tcBorders>
          </w:tcPr>
          <w:p w14:paraId="545C5421"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c>
          <w:tcPr>
            <w:tcW w:w="1151" w:type="dxa"/>
            <w:tcBorders>
              <w:top w:val="nil"/>
              <w:left w:val="nil"/>
              <w:bottom w:val="nil"/>
              <w:right w:val="nil"/>
            </w:tcBorders>
          </w:tcPr>
          <w:p w14:paraId="75145392"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c>
          <w:tcPr>
            <w:tcW w:w="1151" w:type="dxa"/>
            <w:tcBorders>
              <w:top w:val="nil"/>
              <w:left w:val="nil"/>
              <w:bottom w:val="nil"/>
              <w:right w:val="nil"/>
            </w:tcBorders>
          </w:tcPr>
          <w:p w14:paraId="27D70339"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c>
          <w:tcPr>
            <w:tcW w:w="1151" w:type="dxa"/>
            <w:tcBorders>
              <w:top w:val="nil"/>
              <w:left w:val="nil"/>
              <w:bottom w:val="nil"/>
              <w:right w:val="nil"/>
            </w:tcBorders>
          </w:tcPr>
          <w:p w14:paraId="7EA36CDB"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c>
          <w:tcPr>
            <w:tcW w:w="1151" w:type="dxa"/>
            <w:tcBorders>
              <w:top w:val="nil"/>
              <w:left w:val="nil"/>
              <w:bottom w:val="nil"/>
              <w:right w:val="nil"/>
            </w:tcBorders>
          </w:tcPr>
          <w:p w14:paraId="5E9414E1"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2,544</w:t>
            </w:r>
          </w:p>
        </w:tc>
      </w:tr>
      <w:tr w:rsidR="00AA5C6B" w:rsidRPr="00066FD9" w14:paraId="1BEBC7B4" w14:textId="77777777" w:rsidTr="00FE27B1">
        <w:tblPrEx>
          <w:tblBorders>
            <w:bottom w:val="single" w:sz="6" w:space="0" w:color="auto"/>
          </w:tblBorders>
        </w:tblPrEx>
        <w:trPr>
          <w:jc w:val="center"/>
        </w:trPr>
        <w:tc>
          <w:tcPr>
            <w:tcW w:w="2585" w:type="dxa"/>
            <w:tcBorders>
              <w:top w:val="nil"/>
              <w:left w:val="nil"/>
              <w:bottom w:val="single" w:sz="6" w:space="0" w:color="auto"/>
              <w:right w:val="nil"/>
            </w:tcBorders>
          </w:tcPr>
          <w:p w14:paraId="65E05D55" w14:textId="77777777" w:rsidR="00AA5C6B" w:rsidRPr="00066FD9" w:rsidRDefault="00AA5C6B" w:rsidP="00AA5C6B">
            <w:pPr>
              <w:widowControl w:val="0"/>
              <w:autoSpaceDE w:val="0"/>
              <w:autoSpaceDN w:val="0"/>
              <w:adjustRightInd w:val="0"/>
              <w:spacing w:before="100" w:beforeAutospacing="1" w:after="100" w:afterAutospacing="1"/>
              <w:contextualSpacing/>
            </w:pPr>
            <w:r w:rsidRPr="00066FD9">
              <w:t>R-squared</w:t>
            </w:r>
          </w:p>
        </w:tc>
        <w:tc>
          <w:tcPr>
            <w:tcW w:w="1150" w:type="dxa"/>
            <w:tcBorders>
              <w:top w:val="nil"/>
              <w:left w:val="nil"/>
              <w:bottom w:val="single" w:sz="6" w:space="0" w:color="auto"/>
              <w:right w:val="nil"/>
            </w:tcBorders>
          </w:tcPr>
          <w:p w14:paraId="6B696F9A"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0.719</w:t>
            </w:r>
          </w:p>
        </w:tc>
        <w:tc>
          <w:tcPr>
            <w:tcW w:w="1151" w:type="dxa"/>
            <w:tcBorders>
              <w:top w:val="nil"/>
              <w:left w:val="nil"/>
              <w:bottom w:val="single" w:sz="6" w:space="0" w:color="auto"/>
              <w:right w:val="nil"/>
            </w:tcBorders>
          </w:tcPr>
          <w:p w14:paraId="46EB4C19"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0.738</w:t>
            </w:r>
          </w:p>
        </w:tc>
        <w:tc>
          <w:tcPr>
            <w:tcW w:w="1151" w:type="dxa"/>
            <w:tcBorders>
              <w:top w:val="nil"/>
              <w:left w:val="nil"/>
              <w:bottom w:val="single" w:sz="6" w:space="0" w:color="auto"/>
              <w:right w:val="nil"/>
            </w:tcBorders>
          </w:tcPr>
          <w:p w14:paraId="4BD33D50" w14:textId="0426F3BA" w:rsidR="00AA5C6B" w:rsidRDefault="00AA5C6B" w:rsidP="00BB55D2">
            <w:pPr>
              <w:widowControl w:val="0"/>
              <w:autoSpaceDE w:val="0"/>
              <w:autoSpaceDN w:val="0"/>
              <w:adjustRightInd w:val="0"/>
              <w:spacing w:before="100" w:beforeAutospacing="1" w:after="100" w:afterAutospacing="1"/>
              <w:ind w:left="-75" w:right="-95"/>
              <w:contextualSpacing/>
              <w:jc w:val="center"/>
            </w:pPr>
            <w:r>
              <w:t>0.</w:t>
            </w:r>
            <w:r w:rsidR="00BB55D2">
              <w:t>768</w:t>
            </w:r>
          </w:p>
        </w:tc>
        <w:tc>
          <w:tcPr>
            <w:tcW w:w="1151" w:type="dxa"/>
            <w:tcBorders>
              <w:top w:val="nil"/>
              <w:left w:val="nil"/>
              <w:bottom w:val="single" w:sz="6" w:space="0" w:color="auto"/>
              <w:right w:val="nil"/>
            </w:tcBorders>
          </w:tcPr>
          <w:p w14:paraId="01E404ED"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0.717</w:t>
            </w:r>
          </w:p>
        </w:tc>
        <w:tc>
          <w:tcPr>
            <w:tcW w:w="1151" w:type="dxa"/>
            <w:tcBorders>
              <w:top w:val="nil"/>
              <w:left w:val="nil"/>
              <w:bottom w:val="single" w:sz="6" w:space="0" w:color="auto"/>
              <w:right w:val="nil"/>
            </w:tcBorders>
          </w:tcPr>
          <w:p w14:paraId="239DA9ED"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0.740</w:t>
            </w:r>
          </w:p>
        </w:tc>
        <w:tc>
          <w:tcPr>
            <w:tcW w:w="1151" w:type="dxa"/>
            <w:tcBorders>
              <w:top w:val="nil"/>
              <w:left w:val="nil"/>
              <w:bottom w:val="single" w:sz="6" w:space="0" w:color="auto"/>
              <w:right w:val="nil"/>
            </w:tcBorders>
          </w:tcPr>
          <w:p w14:paraId="728CBAEB" w14:textId="77777777" w:rsidR="00AA5C6B" w:rsidRDefault="00AA5C6B" w:rsidP="00FE27B1">
            <w:pPr>
              <w:widowControl w:val="0"/>
              <w:autoSpaceDE w:val="0"/>
              <w:autoSpaceDN w:val="0"/>
              <w:adjustRightInd w:val="0"/>
              <w:spacing w:before="100" w:beforeAutospacing="1" w:after="100" w:afterAutospacing="1"/>
              <w:ind w:left="-75" w:right="-95"/>
              <w:contextualSpacing/>
              <w:jc w:val="center"/>
            </w:pPr>
            <w:r>
              <w:t>0.771</w:t>
            </w:r>
          </w:p>
        </w:tc>
      </w:tr>
    </w:tbl>
    <w:p w14:paraId="3B69AEB1" w14:textId="23BF644A" w:rsidR="000A4CCE" w:rsidRDefault="00AA5C6B" w:rsidP="00AA5C6B">
      <w:pPr>
        <w:widowControl w:val="0"/>
        <w:autoSpaceDE w:val="0"/>
        <w:autoSpaceDN w:val="0"/>
        <w:adjustRightInd w:val="0"/>
        <w:spacing w:before="0" w:after="0"/>
        <w:rPr>
          <w:rFonts w:eastAsiaTheme="minorEastAsia"/>
        </w:rPr>
      </w:pPr>
      <w:r>
        <w:t xml:space="preserve">NOTES: The table presents results from six separate regressions of the </w:t>
      </w:r>
      <w:r w:rsidR="00FE26E9">
        <w:t>decadal percentage change in the population of each household type (using the midpoint formula in the denominator) on the policy values at the beginning of the decade</w:t>
      </w:r>
      <w:r>
        <w:t xml:space="preserve">. </w:t>
      </w:r>
      <w:r w:rsidR="000A4CCE">
        <w:t>Column </w:t>
      </w:r>
      <w:r>
        <w:t>(1) reports results for Equation (</w:t>
      </w:r>
      <w:r w:rsidR="00132BF0">
        <w:t>1</w:t>
      </w:r>
      <w:r>
        <w:t xml:space="preserve">). </w:t>
      </w:r>
      <w:r w:rsidR="000A4CCE">
        <w:t>Column </w:t>
      </w:r>
      <w:r>
        <w:t>(2) replaces the county and decade fixed effects in Equation (</w:t>
      </w:r>
      <w:r w:rsidR="00132BF0">
        <w:t>1</w:t>
      </w:r>
      <w:r>
        <w:t xml:space="preserve">) with exemption-year and exemption-county Interactions. </w:t>
      </w:r>
      <w:r w:rsidR="000A4CCE">
        <w:t>Column </w:t>
      </w:r>
      <w:r>
        <w:t xml:space="preserve">(3) adds county-age, county-owner, and year-age-urban status interactions to the specification in </w:t>
      </w:r>
      <w:r w:rsidR="000A4CCE">
        <w:t>Column </w:t>
      </w:r>
      <w:r>
        <w:t xml:space="preserve">(2). Panel A uses the </w:t>
      </w:r>
      <w:r>
        <w:rPr>
          <w:rFonts w:eastAsiaTheme="minorEastAsia"/>
        </w:rPr>
        <w:t xml:space="preserve">housing unit weighted average of indicator variables denoting any age-based property tax exemption in the county and covered cities. Panel B uses the inverse ratio of under 65 to over 65 simulated property taxes as the measure of the age-based property tax exemption treatment. </w:t>
      </w:r>
    </w:p>
    <w:p w14:paraId="4B387578" w14:textId="77777777" w:rsidR="000A4CCE" w:rsidRDefault="00AA5C6B" w:rsidP="00AA5C6B">
      <w:pPr>
        <w:widowControl w:val="0"/>
        <w:autoSpaceDE w:val="0"/>
        <w:autoSpaceDN w:val="0"/>
        <w:adjustRightInd w:val="0"/>
        <w:spacing w:before="0" w:after="0"/>
        <w:rPr>
          <w:rFonts w:eastAsiaTheme="minorEastAsia"/>
        </w:rPr>
      </w:pPr>
      <w:r>
        <w:rPr>
          <w:rFonts w:eastAsiaTheme="minorEastAsia"/>
        </w:rPr>
        <w:t xml:space="preserve">Robust standard errors clustered at the county level are reported in parentheses. </w:t>
      </w:r>
    </w:p>
    <w:p w14:paraId="3F590175" w14:textId="4FFF5CCD" w:rsidR="00AA5C6B" w:rsidRDefault="00AA5C6B" w:rsidP="00AA5C6B">
      <w:pPr>
        <w:widowControl w:val="0"/>
        <w:autoSpaceDE w:val="0"/>
        <w:autoSpaceDN w:val="0"/>
        <w:adjustRightInd w:val="0"/>
        <w:spacing w:before="0" w:after="0"/>
      </w:pPr>
      <w:r>
        <w:t>*** p&lt;0.01, ** p&lt;0.05, * p&lt;0.1</w:t>
      </w:r>
    </w:p>
    <w:p w14:paraId="5499C0C4" w14:textId="77777777" w:rsidR="00AA5C6B" w:rsidRDefault="00AA5C6B" w:rsidP="00AA5C6B">
      <w:pPr>
        <w:spacing w:before="0" w:after="0"/>
        <w:rPr>
          <w:b/>
        </w:rPr>
      </w:pPr>
      <w:r>
        <w:rPr>
          <w:b/>
        </w:rPr>
        <w:br w:type="page"/>
      </w:r>
    </w:p>
    <w:p w14:paraId="2985022F" w14:textId="77777777" w:rsidR="00AA5C6B" w:rsidRPr="007F3719" w:rsidRDefault="00AA5C6B" w:rsidP="00AA5C6B">
      <w:pPr>
        <w:spacing w:before="0" w:after="0"/>
        <w:contextualSpacing/>
        <w:rPr>
          <w:b/>
        </w:rPr>
      </w:pPr>
      <w:r w:rsidRPr="007F3719">
        <w:rPr>
          <w:b/>
        </w:rPr>
        <w:lastRenderedPageBreak/>
        <w:t xml:space="preserve">Table </w:t>
      </w:r>
      <w:r>
        <w:rPr>
          <w:b/>
        </w:rPr>
        <w:t>6</w:t>
      </w:r>
      <w:r w:rsidRPr="007F3719">
        <w:rPr>
          <w:b/>
        </w:rPr>
        <w:t xml:space="preserve">. </w:t>
      </w:r>
      <w:r>
        <w:rPr>
          <w:b/>
        </w:rPr>
        <w:t>Mean housing value</w:t>
      </w:r>
      <w:r w:rsidRPr="007F3719">
        <w:rPr>
          <w:b/>
        </w:rPr>
        <w:t xml:space="preserve"> </w:t>
      </w:r>
      <w:r>
        <w:rPr>
          <w:b/>
        </w:rPr>
        <w:t>triple</w:t>
      </w:r>
      <w:r w:rsidRPr="007F3719">
        <w:rPr>
          <w:b/>
        </w:rPr>
        <w:t xml:space="preserve">-difference </w:t>
      </w:r>
    </w:p>
    <w:tbl>
      <w:tblPr>
        <w:tblW w:w="0" w:type="auto"/>
        <w:tblCellMar>
          <w:left w:w="75" w:type="dxa"/>
          <w:right w:w="75" w:type="dxa"/>
        </w:tblCellMar>
        <w:tblLook w:val="0000" w:firstRow="0" w:lastRow="0" w:firstColumn="0" w:lastColumn="0" w:noHBand="0" w:noVBand="0"/>
      </w:tblPr>
      <w:tblGrid>
        <w:gridCol w:w="2137"/>
        <w:gridCol w:w="1050"/>
        <w:gridCol w:w="1050"/>
        <w:gridCol w:w="1010"/>
        <w:gridCol w:w="1050"/>
        <w:gridCol w:w="1050"/>
        <w:gridCol w:w="1050"/>
      </w:tblGrid>
      <w:tr w:rsidR="00AA5C6B" w:rsidRPr="00066FD9" w14:paraId="5DA09091" w14:textId="77777777" w:rsidTr="000A4CCE">
        <w:tc>
          <w:tcPr>
            <w:tcW w:w="0" w:type="auto"/>
            <w:tcBorders>
              <w:top w:val="single" w:sz="6" w:space="0" w:color="auto"/>
              <w:left w:val="nil"/>
              <w:bottom w:val="nil"/>
              <w:right w:val="nil"/>
            </w:tcBorders>
          </w:tcPr>
          <w:p w14:paraId="6EB19CE3"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gridSpan w:val="3"/>
            <w:tcBorders>
              <w:top w:val="single" w:sz="6" w:space="0" w:color="auto"/>
              <w:left w:val="nil"/>
              <w:bottom w:val="single" w:sz="4" w:space="0" w:color="auto"/>
              <w:right w:val="nil"/>
            </w:tcBorders>
          </w:tcPr>
          <w:p w14:paraId="2EDCAC2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Panel A: Exemption Indicator</w:t>
            </w:r>
          </w:p>
        </w:tc>
        <w:tc>
          <w:tcPr>
            <w:tcW w:w="0" w:type="auto"/>
            <w:gridSpan w:val="3"/>
            <w:tcBorders>
              <w:top w:val="single" w:sz="6" w:space="0" w:color="auto"/>
              <w:left w:val="nil"/>
              <w:bottom w:val="single" w:sz="4" w:space="0" w:color="auto"/>
              <w:right w:val="nil"/>
            </w:tcBorders>
          </w:tcPr>
          <w:p w14:paraId="62C5E9A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Panel B: Simulated Tax Ratio</w:t>
            </w:r>
          </w:p>
        </w:tc>
      </w:tr>
      <w:tr w:rsidR="00AA5C6B" w:rsidRPr="00066FD9" w14:paraId="27350215" w14:textId="77777777" w:rsidTr="000A4CCE">
        <w:tc>
          <w:tcPr>
            <w:tcW w:w="0" w:type="auto"/>
            <w:tcBorders>
              <w:top w:val="nil"/>
              <w:left w:val="nil"/>
              <w:bottom w:val="nil"/>
              <w:right w:val="nil"/>
            </w:tcBorders>
          </w:tcPr>
          <w:p w14:paraId="73D6E4A9"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tcBorders>
              <w:top w:val="single" w:sz="4" w:space="0" w:color="auto"/>
              <w:left w:val="nil"/>
              <w:bottom w:val="nil"/>
              <w:right w:val="nil"/>
            </w:tcBorders>
          </w:tcPr>
          <w:p w14:paraId="160F2D5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(1)</w:t>
            </w:r>
          </w:p>
        </w:tc>
        <w:tc>
          <w:tcPr>
            <w:tcW w:w="0" w:type="auto"/>
            <w:tcBorders>
              <w:top w:val="single" w:sz="4" w:space="0" w:color="auto"/>
              <w:left w:val="nil"/>
              <w:bottom w:val="nil"/>
              <w:right w:val="nil"/>
            </w:tcBorders>
          </w:tcPr>
          <w:p w14:paraId="5F4C404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(2)</w:t>
            </w:r>
          </w:p>
        </w:tc>
        <w:tc>
          <w:tcPr>
            <w:tcW w:w="0" w:type="auto"/>
            <w:tcBorders>
              <w:top w:val="single" w:sz="4" w:space="0" w:color="auto"/>
              <w:left w:val="nil"/>
              <w:bottom w:val="nil"/>
              <w:right w:val="nil"/>
            </w:tcBorders>
          </w:tcPr>
          <w:p w14:paraId="0B4B7296"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(3)</w:t>
            </w:r>
          </w:p>
        </w:tc>
        <w:tc>
          <w:tcPr>
            <w:tcW w:w="0" w:type="auto"/>
            <w:tcBorders>
              <w:top w:val="single" w:sz="4" w:space="0" w:color="auto"/>
              <w:left w:val="nil"/>
              <w:bottom w:val="nil"/>
              <w:right w:val="nil"/>
            </w:tcBorders>
          </w:tcPr>
          <w:p w14:paraId="6877A93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(1)</w:t>
            </w:r>
          </w:p>
        </w:tc>
        <w:tc>
          <w:tcPr>
            <w:tcW w:w="0" w:type="auto"/>
            <w:tcBorders>
              <w:top w:val="single" w:sz="4" w:space="0" w:color="auto"/>
              <w:left w:val="nil"/>
              <w:bottom w:val="nil"/>
              <w:right w:val="nil"/>
            </w:tcBorders>
          </w:tcPr>
          <w:p w14:paraId="51A2F905"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(2)</w:t>
            </w:r>
          </w:p>
        </w:tc>
        <w:tc>
          <w:tcPr>
            <w:tcW w:w="0" w:type="auto"/>
            <w:tcBorders>
              <w:top w:val="single" w:sz="4" w:space="0" w:color="auto"/>
              <w:left w:val="nil"/>
              <w:bottom w:val="nil"/>
              <w:right w:val="nil"/>
            </w:tcBorders>
          </w:tcPr>
          <w:p w14:paraId="74381971"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(3)</w:t>
            </w:r>
          </w:p>
        </w:tc>
      </w:tr>
      <w:tr w:rsidR="00AA5C6B" w:rsidRPr="00066FD9" w14:paraId="6D7204E7" w14:textId="77777777" w:rsidTr="000A4CCE">
        <w:tc>
          <w:tcPr>
            <w:tcW w:w="0" w:type="auto"/>
            <w:tcBorders>
              <w:top w:val="nil"/>
              <w:left w:val="nil"/>
              <w:bottom w:val="nil"/>
              <w:right w:val="nil"/>
            </w:tcBorders>
          </w:tcPr>
          <w:p w14:paraId="379DA730" w14:textId="578B7774" w:rsidR="00AA5C6B" w:rsidRPr="00066FD9" w:rsidRDefault="00FE27B1" w:rsidP="00AA5C6B">
            <w:pPr>
              <w:widowControl w:val="0"/>
              <w:autoSpaceDE w:val="0"/>
              <w:autoSpaceDN w:val="0"/>
              <w:adjustRightInd w:val="0"/>
              <w:spacing w:before="100" w:beforeAutospacing="1" w:after="100" w:afterAutospacing="1"/>
              <w:contextualSpacing/>
            </w:pPr>
            <w:r>
              <w:t>Treatment</w:t>
            </w:r>
            <w:r w:rsidR="00AA5C6B">
              <w:t xml:space="preserve"> X O</w:t>
            </w:r>
            <w:r w:rsidR="00AA5C6B" w:rsidRPr="00066FD9">
              <w:t>lder</w:t>
            </w:r>
          </w:p>
        </w:tc>
        <w:tc>
          <w:tcPr>
            <w:tcW w:w="0" w:type="auto"/>
            <w:tcBorders>
              <w:top w:val="nil"/>
              <w:left w:val="nil"/>
              <w:bottom w:val="nil"/>
              <w:right w:val="nil"/>
            </w:tcBorders>
          </w:tcPr>
          <w:p w14:paraId="3623A1D2" w14:textId="77777777" w:rsidR="00AA5C6B" w:rsidRDefault="00AA5C6B" w:rsidP="00AA5C6B">
            <w:pPr>
              <w:widowControl w:val="0"/>
              <w:autoSpaceDE w:val="0"/>
              <w:autoSpaceDN w:val="0"/>
              <w:adjustRightInd w:val="0"/>
              <w:spacing w:before="100" w:beforeAutospacing="1" w:after="100" w:afterAutospacing="1"/>
              <w:contextualSpacing/>
              <w:jc w:val="center"/>
            </w:pPr>
            <w:r>
              <w:t>0.128***</w:t>
            </w:r>
          </w:p>
        </w:tc>
        <w:tc>
          <w:tcPr>
            <w:tcW w:w="0" w:type="auto"/>
            <w:tcBorders>
              <w:top w:val="nil"/>
              <w:left w:val="nil"/>
              <w:bottom w:val="nil"/>
              <w:right w:val="nil"/>
            </w:tcBorders>
          </w:tcPr>
          <w:p w14:paraId="1003D6C6" w14:textId="77777777" w:rsidR="00AA5C6B" w:rsidRDefault="00AA5C6B" w:rsidP="00AA5C6B">
            <w:pPr>
              <w:widowControl w:val="0"/>
              <w:autoSpaceDE w:val="0"/>
              <w:autoSpaceDN w:val="0"/>
              <w:adjustRightInd w:val="0"/>
              <w:spacing w:before="100" w:beforeAutospacing="1" w:after="100" w:afterAutospacing="1"/>
              <w:contextualSpacing/>
              <w:jc w:val="center"/>
            </w:pPr>
            <w:r>
              <w:t>0.128***</w:t>
            </w:r>
          </w:p>
        </w:tc>
        <w:tc>
          <w:tcPr>
            <w:tcW w:w="0" w:type="auto"/>
            <w:tcBorders>
              <w:top w:val="nil"/>
              <w:left w:val="nil"/>
              <w:bottom w:val="nil"/>
              <w:right w:val="nil"/>
            </w:tcBorders>
          </w:tcPr>
          <w:p w14:paraId="7E532977" w14:textId="77777777" w:rsidR="00AA5C6B" w:rsidRDefault="00AA5C6B" w:rsidP="00AA5C6B">
            <w:pPr>
              <w:widowControl w:val="0"/>
              <w:autoSpaceDE w:val="0"/>
              <w:autoSpaceDN w:val="0"/>
              <w:adjustRightInd w:val="0"/>
              <w:spacing w:before="100" w:beforeAutospacing="1" w:after="100" w:afterAutospacing="1"/>
              <w:contextualSpacing/>
              <w:jc w:val="center"/>
            </w:pPr>
            <w:r>
              <w:t>0.0529*</w:t>
            </w:r>
          </w:p>
        </w:tc>
        <w:tc>
          <w:tcPr>
            <w:tcW w:w="0" w:type="auto"/>
            <w:tcBorders>
              <w:top w:val="nil"/>
              <w:left w:val="nil"/>
              <w:bottom w:val="nil"/>
              <w:right w:val="nil"/>
            </w:tcBorders>
          </w:tcPr>
          <w:p w14:paraId="576ABBA1" w14:textId="77777777" w:rsidR="00AA5C6B" w:rsidRDefault="00AA5C6B" w:rsidP="00AA5C6B">
            <w:pPr>
              <w:widowControl w:val="0"/>
              <w:autoSpaceDE w:val="0"/>
              <w:autoSpaceDN w:val="0"/>
              <w:adjustRightInd w:val="0"/>
              <w:spacing w:before="100" w:beforeAutospacing="1" w:after="100" w:afterAutospacing="1"/>
              <w:contextualSpacing/>
              <w:jc w:val="center"/>
            </w:pPr>
            <w:r>
              <w:t>0.106***</w:t>
            </w:r>
          </w:p>
        </w:tc>
        <w:tc>
          <w:tcPr>
            <w:tcW w:w="0" w:type="auto"/>
            <w:tcBorders>
              <w:top w:val="nil"/>
              <w:left w:val="nil"/>
              <w:bottom w:val="nil"/>
              <w:right w:val="nil"/>
            </w:tcBorders>
          </w:tcPr>
          <w:p w14:paraId="34AD0401" w14:textId="77777777" w:rsidR="00AA5C6B" w:rsidRDefault="00AA5C6B" w:rsidP="00AA5C6B">
            <w:pPr>
              <w:widowControl w:val="0"/>
              <w:autoSpaceDE w:val="0"/>
              <w:autoSpaceDN w:val="0"/>
              <w:adjustRightInd w:val="0"/>
              <w:spacing w:before="100" w:beforeAutospacing="1" w:after="100" w:afterAutospacing="1"/>
              <w:contextualSpacing/>
              <w:jc w:val="center"/>
            </w:pPr>
            <w:r>
              <w:t>0.106**</w:t>
            </w:r>
          </w:p>
        </w:tc>
        <w:tc>
          <w:tcPr>
            <w:tcW w:w="0" w:type="auto"/>
            <w:tcBorders>
              <w:top w:val="nil"/>
              <w:left w:val="nil"/>
              <w:bottom w:val="nil"/>
              <w:right w:val="nil"/>
            </w:tcBorders>
          </w:tcPr>
          <w:p w14:paraId="6C7F5F25" w14:textId="77777777" w:rsidR="00AA5C6B" w:rsidRDefault="00AA5C6B" w:rsidP="00AA5C6B">
            <w:pPr>
              <w:widowControl w:val="0"/>
              <w:autoSpaceDE w:val="0"/>
              <w:autoSpaceDN w:val="0"/>
              <w:adjustRightInd w:val="0"/>
              <w:spacing w:before="100" w:beforeAutospacing="1" w:after="100" w:afterAutospacing="1"/>
              <w:contextualSpacing/>
              <w:jc w:val="center"/>
            </w:pPr>
            <w:r>
              <w:t>0.127*</w:t>
            </w:r>
          </w:p>
        </w:tc>
      </w:tr>
      <w:tr w:rsidR="00AA5C6B" w:rsidRPr="00066FD9" w14:paraId="7875ED8D" w14:textId="77777777" w:rsidTr="000A4CCE">
        <w:tc>
          <w:tcPr>
            <w:tcW w:w="0" w:type="auto"/>
            <w:tcBorders>
              <w:top w:val="nil"/>
              <w:left w:val="nil"/>
              <w:bottom w:val="nil"/>
              <w:right w:val="nil"/>
            </w:tcBorders>
          </w:tcPr>
          <w:p w14:paraId="4A32F280"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tcBorders>
              <w:top w:val="nil"/>
              <w:left w:val="nil"/>
              <w:bottom w:val="nil"/>
              <w:right w:val="nil"/>
            </w:tcBorders>
          </w:tcPr>
          <w:p w14:paraId="1F8DF796" w14:textId="77777777" w:rsidR="00AA5C6B" w:rsidRDefault="00AA5C6B" w:rsidP="00AA5C6B">
            <w:pPr>
              <w:widowControl w:val="0"/>
              <w:autoSpaceDE w:val="0"/>
              <w:autoSpaceDN w:val="0"/>
              <w:adjustRightInd w:val="0"/>
              <w:spacing w:before="100" w:beforeAutospacing="1" w:after="100" w:afterAutospacing="1"/>
              <w:contextualSpacing/>
              <w:jc w:val="center"/>
            </w:pPr>
            <w:r>
              <w:t>(0.0220)</w:t>
            </w:r>
          </w:p>
        </w:tc>
        <w:tc>
          <w:tcPr>
            <w:tcW w:w="0" w:type="auto"/>
            <w:tcBorders>
              <w:top w:val="nil"/>
              <w:left w:val="nil"/>
              <w:bottom w:val="nil"/>
              <w:right w:val="nil"/>
            </w:tcBorders>
          </w:tcPr>
          <w:p w14:paraId="245FFC3A" w14:textId="77777777" w:rsidR="00AA5C6B" w:rsidRDefault="00AA5C6B" w:rsidP="00AA5C6B">
            <w:pPr>
              <w:widowControl w:val="0"/>
              <w:autoSpaceDE w:val="0"/>
              <w:autoSpaceDN w:val="0"/>
              <w:adjustRightInd w:val="0"/>
              <w:spacing w:before="100" w:beforeAutospacing="1" w:after="100" w:afterAutospacing="1"/>
              <w:contextualSpacing/>
              <w:jc w:val="center"/>
            </w:pPr>
            <w:r>
              <w:t>(0.0229)</w:t>
            </w:r>
          </w:p>
        </w:tc>
        <w:tc>
          <w:tcPr>
            <w:tcW w:w="0" w:type="auto"/>
            <w:tcBorders>
              <w:top w:val="nil"/>
              <w:left w:val="nil"/>
              <w:bottom w:val="nil"/>
              <w:right w:val="nil"/>
            </w:tcBorders>
          </w:tcPr>
          <w:p w14:paraId="115C0288" w14:textId="77777777" w:rsidR="00AA5C6B" w:rsidRDefault="00AA5C6B" w:rsidP="00AA5C6B">
            <w:pPr>
              <w:widowControl w:val="0"/>
              <w:autoSpaceDE w:val="0"/>
              <w:autoSpaceDN w:val="0"/>
              <w:adjustRightInd w:val="0"/>
              <w:spacing w:before="100" w:beforeAutospacing="1" w:after="100" w:afterAutospacing="1"/>
              <w:contextualSpacing/>
              <w:jc w:val="center"/>
            </w:pPr>
            <w:r>
              <w:t>(0.0300)</w:t>
            </w:r>
          </w:p>
        </w:tc>
        <w:tc>
          <w:tcPr>
            <w:tcW w:w="0" w:type="auto"/>
            <w:tcBorders>
              <w:top w:val="nil"/>
              <w:left w:val="nil"/>
              <w:bottom w:val="nil"/>
              <w:right w:val="nil"/>
            </w:tcBorders>
          </w:tcPr>
          <w:p w14:paraId="11D9DD7F" w14:textId="77777777" w:rsidR="00AA5C6B" w:rsidRDefault="00AA5C6B" w:rsidP="00AA5C6B">
            <w:pPr>
              <w:widowControl w:val="0"/>
              <w:autoSpaceDE w:val="0"/>
              <w:autoSpaceDN w:val="0"/>
              <w:adjustRightInd w:val="0"/>
              <w:spacing w:before="100" w:beforeAutospacing="1" w:after="100" w:afterAutospacing="1"/>
              <w:contextualSpacing/>
              <w:jc w:val="center"/>
            </w:pPr>
            <w:r>
              <w:t>(0.0405)</w:t>
            </w:r>
          </w:p>
        </w:tc>
        <w:tc>
          <w:tcPr>
            <w:tcW w:w="0" w:type="auto"/>
            <w:tcBorders>
              <w:top w:val="nil"/>
              <w:left w:val="nil"/>
              <w:bottom w:val="nil"/>
              <w:right w:val="nil"/>
            </w:tcBorders>
          </w:tcPr>
          <w:p w14:paraId="6E130C8D" w14:textId="77777777" w:rsidR="00AA5C6B" w:rsidRDefault="00AA5C6B" w:rsidP="00AA5C6B">
            <w:pPr>
              <w:widowControl w:val="0"/>
              <w:autoSpaceDE w:val="0"/>
              <w:autoSpaceDN w:val="0"/>
              <w:adjustRightInd w:val="0"/>
              <w:spacing w:before="100" w:beforeAutospacing="1" w:after="100" w:afterAutospacing="1"/>
              <w:contextualSpacing/>
              <w:jc w:val="center"/>
            </w:pPr>
            <w:r>
              <w:t>(0.0431)</w:t>
            </w:r>
          </w:p>
        </w:tc>
        <w:tc>
          <w:tcPr>
            <w:tcW w:w="0" w:type="auto"/>
            <w:tcBorders>
              <w:top w:val="nil"/>
              <w:left w:val="nil"/>
              <w:bottom w:val="nil"/>
              <w:right w:val="nil"/>
            </w:tcBorders>
          </w:tcPr>
          <w:p w14:paraId="6BD57EFF" w14:textId="77777777" w:rsidR="00AA5C6B" w:rsidRDefault="00AA5C6B" w:rsidP="00AA5C6B">
            <w:pPr>
              <w:widowControl w:val="0"/>
              <w:autoSpaceDE w:val="0"/>
              <w:autoSpaceDN w:val="0"/>
              <w:adjustRightInd w:val="0"/>
              <w:spacing w:before="100" w:beforeAutospacing="1" w:after="100" w:afterAutospacing="1"/>
              <w:contextualSpacing/>
              <w:jc w:val="center"/>
            </w:pPr>
            <w:r>
              <w:t>(0.0665)</w:t>
            </w:r>
          </w:p>
        </w:tc>
      </w:tr>
      <w:tr w:rsidR="00AA5C6B" w:rsidRPr="00066FD9" w14:paraId="16B22CB3" w14:textId="77777777" w:rsidTr="000A4CCE">
        <w:tc>
          <w:tcPr>
            <w:tcW w:w="0" w:type="auto"/>
            <w:tcBorders>
              <w:top w:val="nil"/>
              <w:left w:val="nil"/>
              <w:bottom w:val="nil"/>
              <w:right w:val="nil"/>
            </w:tcBorders>
          </w:tcPr>
          <w:p w14:paraId="5F27303C" w14:textId="6FC3DBE9" w:rsidR="00AA5C6B" w:rsidRPr="00066FD9" w:rsidRDefault="00FE27B1" w:rsidP="00AA5C6B">
            <w:pPr>
              <w:widowControl w:val="0"/>
              <w:autoSpaceDE w:val="0"/>
              <w:autoSpaceDN w:val="0"/>
              <w:adjustRightInd w:val="0"/>
              <w:spacing w:before="100" w:beforeAutospacing="1" w:after="100" w:afterAutospacing="1"/>
              <w:contextualSpacing/>
            </w:pPr>
            <w:r>
              <w:t>Treatment</w:t>
            </w:r>
          </w:p>
        </w:tc>
        <w:tc>
          <w:tcPr>
            <w:tcW w:w="0" w:type="auto"/>
            <w:tcBorders>
              <w:top w:val="nil"/>
              <w:left w:val="nil"/>
              <w:bottom w:val="nil"/>
              <w:right w:val="nil"/>
            </w:tcBorders>
          </w:tcPr>
          <w:p w14:paraId="7D724AEE" w14:textId="77777777" w:rsidR="00AA5C6B" w:rsidRDefault="00AA5C6B" w:rsidP="00AA5C6B">
            <w:pPr>
              <w:widowControl w:val="0"/>
              <w:autoSpaceDE w:val="0"/>
              <w:autoSpaceDN w:val="0"/>
              <w:adjustRightInd w:val="0"/>
              <w:spacing w:before="100" w:beforeAutospacing="1" w:after="100" w:afterAutospacing="1"/>
              <w:contextualSpacing/>
              <w:jc w:val="center"/>
            </w:pPr>
            <w:r>
              <w:t>0.0639*</w:t>
            </w:r>
          </w:p>
        </w:tc>
        <w:tc>
          <w:tcPr>
            <w:tcW w:w="0" w:type="auto"/>
            <w:tcBorders>
              <w:top w:val="nil"/>
              <w:left w:val="nil"/>
              <w:bottom w:val="nil"/>
              <w:right w:val="nil"/>
            </w:tcBorders>
          </w:tcPr>
          <w:p w14:paraId="24B18433" w14:textId="77777777" w:rsidR="00AA5C6B" w:rsidRDefault="00AA5C6B" w:rsidP="00AA5C6B">
            <w:pPr>
              <w:widowControl w:val="0"/>
              <w:autoSpaceDE w:val="0"/>
              <w:autoSpaceDN w:val="0"/>
              <w:adjustRightInd w:val="0"/>
              <w:spacing w:before="100" w:beforeAutospacing="1" w:after="100" w:afterAutospacing="1"/>
              <w:contextualSpacing/>
              <w:jc w:val="center"/>
            </w:pPr>
            <w:r>
              <w:t>0.00644</w:t>
            </w:r>
          </w:p>
        </w:tc>
        <w:tc>
          <w:tcPr>
            <w:tcW w:w="0" w:type="auto"/>
            <w:tcBorders>
              <w:top w:val="nil"/>
              <w:left w:val="nil"/>
              <w:bottom w:val="nil"/>
              <w:right w:val="nil"/>
            </w:tcBorders>
          </w:tcPr>
          <w:p w14:paraId="49295631" w14:textId="77777777" w:rsidR="00AA5C6B" w:rsidRDefault="00AA5C6B" w:rsidP="00AA5C6B">
            <w:pPr>
              <w:widowControl w:val="0"/>
              <w:autoSpaceDE w:val="0"/>
              <w:autoSpaceDN w:val="0"/>
              <w:adjustRightInd w:val="0"/>
              <w:spacing w:before="100" w:beforeAutospacing="1" w:after="100" w:afterAutospacing="1"/>
              <w:contextualSpacing/>
              <w:jc w:val="center"/>
            </w:pPr>
            <w:r>
              <w:t>-0.781**</w:t>
            </w:r>
          </w:p>
        </w:tc>
        <w:tc>
          <w:tcPr>
            <w:tcW w:w="0" w:type="auto"/>
            <w:tcBorders>
              <w:top w:val="nil"/>
              <w:left w:val="nil"/>
              <w:bottom w:val="nil"/>
              <w:right w:val="nil"/>
            </w:tcBorders>
          </w:tcPr>
          <w:p w14:paraId="51DC8272" w14:textId="77777777" w:rsidR="00AA5C6B" w:rsidRDefault="00AA5C6B" w:rsidP="00AA5C6B">
            <w:pPr>
              <w:widowControl w:val="0"/>
              <w:autoSpaceDE w:val="0"/>
              <w:autoSpaceDN w:val="0"/>
              <w:adjustRightInd w:val="0"/>
              <w:spacing w:before="100" w:beforeAutospacing="1" w:after="100" w:afterAutospacing="1"/>
              <w:contextualSpacing/>
              <w:jc w:val="center"/>
            </w:pPr>
            <w:r>
              <w:t>0.202**</w:t>
            </w:r>
          </w:p>
        </w:tc>
        <w:tc>
          <w:tcPr>
            <w:tcW w:w="0" w:type="auto"/>
            <w:tcBorders>
              <w:top w:val="nil"/>
              <w:left w:val="nil"/>
              <w:bottom w:val="nil"/>
              <w:right w:val="nil"/>
            </w:tcBorders>
          </w:tcPr>
          <w:p w14:paraId="138537CB" w14:textId="77777777" w:rsidR="00AA5C6B" w:rsidRDefault="00AA5C6B" w:rsidP="00AA5C6B">
            <w:pPr>
              <w:widowControl w:val="0"/>
              <w:autoSpaceDE w:val="0"/>
              <w:autoSpaceDN w:val="0"/>
              <w:adjustRightInd w:val="0"/>
              <w:spacing w:before="100" w:beforeAutospacing="1" w:after="100" w:afterAutospacing="1"/>
              <w:contextualSpacing/>
              <w:jc w:val="center"/>
            </w:pPr>
            <w:r>
              <w:t>0.514***</w:t>
            </w:r>
          </w:p>
        </w:tc>
        <w:tc>
          <w:tcPr>
            <w:tcW w:w="0" w:type="auto"/>
            <w:tcBorders>
              <w:top w:val="nil"/>
              <w:left w:val="nil"/>
              <w:bottom w:val="nil"/>
              <w:right w:val="nil"/>
            </w:tcBorders>
          </w:tcPr>
          <w:p w14:paraId="78BA1B31" w14:textId="77777777" w:rsidR="00AA5C6B" w:rsidRDefault="00AA5C6B" w:rsidP="00AA5C6B">
            <w:pPr>
              <w:widowControl w:val="0"/>
              <w:autoSpaceDE w:val="0"/>
              <w:autoSpaceDN w:val="0"/>
              <w:adjustRightInd w:val="0"/>
              <w:spacing w:before="100" w:beforeAutospacing="1" w:after="100" w:afterAutospacing="1"/>
              <w:contextualSpacing/>
              <w:jc w:val="center"/>
            </w:pPr>
            <w:r>
              <w:t>0.504***</w:t>
            </w:r>
          </w:p>
        </w:tc>
      </w:tr>
      <w:tr w:rsidR="00AA5C6B" w:rsidRPr="00066FD9" w14:paraId="3A00C95A" w14:textId="77777777" w:rsidTr="000A4CCE">
        <w:tc>
          <w:tcPr>
            <w:tcW w:w="0" w:type="auto"/>
            <w:tcBorders>
              <w:top w:val="nil"/>
              <w:left w:val="nil"/>
              <w:bottom w:val="nil"/>
              <w:right w:val="nil"/>
            </w:tcBorders>
          </w:tcPr>
          <w:p w14:paraId="4C699948"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tcBorders>
              <w:top w:val="nil"/>
              <w:left w:val="nil"/>
              <w:bottom w:val="nil"/>
              <w:right w:val="nil"/>
            </w:tcBorders>
          </w:tcPr>
          <w:p w14:paraId="0A2A3939" w14:textId="77777777" w:rsidR="00AA5C6B" w:rsidRDefault="00AA5C6B" w:rsidP="00AA5C6B">
            <w:pPr>
              <w:widowControl w:val="0"/>
              <w:autoSpaceDE w:val="0"/>
              <w:autoSpaceDN w:val="0"/>
              <w:adjustRightInd w:val="0"/>
              <w:spacing w:before="100" w:beforeAutospacing="1" w:after="100" w:afterAutospacing="1"/>
              <w:contextualSpacing/>
              <w:jc w:val="center"/>
            </w:pPr>
            <w:r>
              <w:t>(0.0384)</w:t>
            </w:r>
          </w:p>
        </w:tc>
        <w:tc>
          <w:tcPr>
            <w:tcW w:w="0" w:type="auto"/>
            <w:tcBorders>
              <w:top w:val="nil"/>
              <w:left w:val="nil"/>
              <w:bottom w:val="nil"/>
              <w:right w:val="nil"/>
            </w:tcBorders>
          </w:tcPr>
          <w:p w14:paraId="10E1FFEC" w14:textId="77777777" w:rsidR="00AA5C6B" w:rsidRDefault="00AA5C6B" w:rsidP="00AA5C6B">
            <w:pPr>
              <w:widowControl w:val="0"/>
              <w:autoSpaceDE w:val="0"/>
              <w:autoSpaceDN w:val="0"/>
              <w:adjustRightInd w:val="0"/>
              <w:spacing w:before="100" w:beforeAutospacing="1" w:after="100" w:afterAutospacing="1"/>
              <w:contextualSpacing/>
              <w:jc w:val="center"/>
            </w:pPr>
            <w:r>
              <w:t>(0.125)</w:t>
            </w:r>
          </w:p>
        </w:tc>
        <w:tc>
          <w:tcPr>
            <w:tcW w:w="0" w:type="auto"/>
            <w:tcBorders>
              <w:top w:val="nil"/>
              <w:left w:val="nil"/>
              <w:bottom w:val="nil"/>
              <w:right w:val="nil"/>
            </w:tcBorders>
          </w:tcPr>
          <w:p w14:paraId="4923CDC3" w14:textId="77777777" w:rsidR="00AA5C6B" w:rsidRDefault="00AA5C6B" w:rsidP="00AA5C6B">
            <w:pPr>
              <w:widowControl w:val="0"/>
              <w:autoSpaceDE w:val="0"/>
              <w:autoSpaceDN w:val="0"/>
              <w:adjustRightInd w:val="0"/>
              <w:spacing w:before="100" w:beforeAutospacing="1" w:after="100" w:afterAutospacing="1"/>
              <w:contextualSpacing/>
              <w:jc w:val="center"/>
            </w:pPr>
            <w:r>
              <w:t>(0.376)</w:t>
            </w:r>
          </w:p>
        </w:tc>
        <w:tc>
          <w:tcPr>
            <w:tcW w:w="0" w:type="auto"/>
            <w:tcBorders>
              <w:top w:val="nil"/>
              <w:left w:val="nil"/>
              <w:bottom w:val="nil"/>
              <w:right w:val="nil"/>
            </w:tcBorders>
          </w:tcPr>
          <w:p w14:paraId="7D99812F" w14:textId="77777777" w:rsidR="00AA5C6B" w:rsidRDefault="00AA5C6B" w:rsidP="00AA5C6B">
            <w:pPr>
              <w:widowControl w:val="0"/>
              <w:autoSpaceDE w:val="0"/>
              <w:autoSpaceDN w:val="0"/>
              <w:adjustRightInd w:val="0"/>
              <w:spacing w:before="100" w:beforeAutospacing="1" w:after="100" w:afterAutospacing="1"/>
              <w:contextualSpacing/>
              <w:jc w:val="center"/>
            </w:pPr>
            <w:r>
              <w:t>(0.0897)</w:t>
            </w:r>
          </w:p>
        </w:tc>
        <w:tc>
          <w:tcPr>
            <w:tcW w:w="0" w:type="auto"/>
            <w:tcBorders>
              <w:top w:val="nil"/>
              <w:left w:val="nil"/>
              <w:bottom w:val="nil"/>
              <w:right w:val="nil"/>
            </w:tcBorders>
          </w:tcPr>
          <w:p w14:paraId="04FDF5FE" w14:textId="77777777" w:rsidR="00AA5C6B" w:rsidRDefault="00AA5C6B" w:rsidP="00AA5C6B">
            <w:pPr>
              <w:widowControl w:val="0"/>
              <w:autoSpaceDE w:val="0"/>
              <w:autoSpaceDN w:val="0"/>
              <w:adjustRightInd w:val="0"/>
              <w:spacing w:before="100" w:beforeAutospacing="1" w:after="100" w:afterAutospacing="1"/>
              <w:contextualSpacing/>
              <w:jc w:val="center"/>
            </w:pPr>
            <w:r>
              <w:t>(0.0864)</w:t>
            </w:r>
          </w:p>
        </w:tc>
        <w:tc>
          <w:tcPr>
            <w:tcW w:w="0" w:type="auto"/>
            <w:tcBorders>
              <w:top w:val="nil"/>
              <w:left w:val="nil"/>
              <w:bottom w:val="nil"/>
              <w:right w:val="nil"/>
            </w:tcBorders>
          </w:tcPr>
          <w:p w14:paraId="1DD2C5F3" w14:textId="77777777" w:rsidR="00AA5C6B" w:rsidRDefault="00AA5C6B" w:rsidP="00AA5C6B">
            <w:pPr>
              <w:widowControl w:val="0"/>
              <w:autoSpaceDE w:val="0"/>
              <w:autoSpaceDN w:val="0"/>
              <w:adjustRightInd w:val="0"/>
              <w:spacing w:before="100" w:beforeAutospacing="1" w:after="100" w:afterAutospacing="1"/>
              <w:contextualSpacing/>
              <w:jc w:val="center"/>
            </w:pPr>
            <w:r>
              <w:t>(0.111)</w:t>
            </w:r>
          </w:p>
        </w:tc>
      </w:tr>
      <w:tr w:rsidR="00AA5C6B" w:rsidRPr="00066FD9" w14:paraId="6B780566" w14:textId="77777777" w:rsidTr="000A4CCE">
        <w:tc>
          <w:tcPr>
            <w:tcW w:w="0" w:type="auto"/>
            <w:tcBorders>
              <w:top w:val="nil"/>
              <w:left w:val="nil"/>
              <w:bottom w:val="nil"/>
              <w:right w:val="nil"/>
            </w:tcBorders>
          </w:tcPr>
          <w:p w14:paraId="4B3965E0" w14:textId="77777777" w:rsidR="00AA5C6B" w:rsidRDefault="00AA5C6B" w:rsidP="00AA5C6B">
            <w:pPr>
              <w:widowControl w:val="0"/>
              <w:autoSpaceDE w:val="0"/>
              <w:autoSpaceDN w:val="0"/>
              <w:adjustRightInd w:val="0"/>
              <w:spacing w:before="100" w:beforeAutospacing="1" w:after="100" w:afterAutospacing="1"/>
              <w:contextualSpacing/>
            </w:pPr>
            <w:r>
              <w:t xml:space="preserve">Older </w:t>
            </w:r>
          </w:p>
        </w:tc>
        <w:tc>
          <w:tcPr>
            <w:tcW w:w="0" w:type="auto"/>
            <w:tcBorders>
              <w:top w:val="nil"/>
              <w:left w:val="nil"/>
              <w:bottom w:val="nil"/>
              <w:right w:val="nil"/>
            </w:tcBorders>
          </w:tcPr>
          <w:p w14:paraId="74061697"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89DA55A"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2DD4955"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E532157"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632C9D2"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5752E25"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043A5309" w14:textId="77777777" w:rsidTr="000A4CCE">
        <w:tc>
          <w:tcPr>
            <w:tcW w:w="0" w:type="auto"/>
            <w:tcBorders>
              <w:top w:val="nil"/>
              <w:left w:val="nil"/>
              <w:bottom w:val="nil"/>
              <w:right w:val="nil"/>
            </w:tcBorders>
          </w:tcPr>
          <w:p w14:paraId="76741097" w14:textId="77777777" w:rsidR="00AA5C6B" w:rsidRPr="00066FD9" w:rsidRDefault="00AA5C6B" w:rsidP="00AA5C6B">
            <w:pPr>
              <w:widowControl w:val="0"/>
              <w:autoSpaceDE w:val="0"/>
              <w:autoSpaceDN w:val="0"/>
              <w:adjustRightInd w:val="0"/>
              <w:spacing w:before="100" w:beforeAutospacing="1" w:after="100" w:afterAutospacing="1"/>
              <w:contextualSpacing/>
            </w:pPr>
            <w:r>
              <w:t>County FE</w:t>
            </w:r>
          </w:p>
        </w:tc>
        <w:tc>
          <w:tcPr>
            <w:tcW w:w="0" w:type="auto"/>
            <w:tcBorders>
              <w:top w:val="nil"/>
              <w:left w:val="nil"/>
              <w:bottom w:val="nil"/>
              <w:right w:val="nil"/>
            </w:tcBorders>
          </w:tcPr>
          <w:p w14:paraId="5DAD587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5E28489D" w14:textId="47D561E2"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A769862" w14:textId="6018E3DB"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2C0D047"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A03041D" w14:textId="35EA30B6"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60C1C1F2" w14:textId="745B7C06"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r>
      <w:tr w:rsidR="00AA5C6B" w:rsidRPr="00066FD9" w14:paraId="59E8664C" w14:textId="77777777" w:rsidTr="000A4CCE">
        <w:tc>
          <w:tcPr>
            <w:tcW w:w="0" w:type="auto"/>
            <w:tcBorders>
              <w:top w:val="nil"/>
              <w:left w:val="nil"/>
              <w:bottom w:val="nil"/>
              <w:right w:val="nil"/>
            </w:tcBorders>
          </w:tcPr>
          <w:p w14:paraId="4C9025E2" w14:textId="77777777" w:rsidR="00AA5C6B" w:rsidRPr="00066FD9" w:rsidRDefault="00AA5C6B" w:rsidP="00AA5C6B">
            <w:pPr>
              <w:widowControl w:val="0"/>
              <w:autoSpaceDE w:val="0"/>
              <w:autoSpaceDN w:val="0"/>
              <w:adjustRightInd w:val="0"/>
              <w:spacing w:before="100" w:beforeAutospacing="1" w:after="100" w:afterAutospacing="1"/>
              <w:contextualSpacing/>
            </w:pPr>
            <w:r>
              <w:t>Year FE</w:t>
            </w:r>
          </w:p>
        </w:tc>
        <w:tc>
          <w:tcPr>
            <w:tcW w:w="0" w:type="auto"/>
            <w:tcBorders>
              <w:top w:val="nil"/>
              <w:left w:val="nil"/>
              <w:bottom w:val="nil"/>
              <w:right w:val="nil"/>
            </w:tcBorders>
          </w:tcPr>
          <w:p w14:paraId="510A2FF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0EDFAB1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5B280D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C04C35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DC7C72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42F695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183C97B0" w14:textId="77777777" w:rsidTr="000A4CCE">
        <w:tc>
          <w:tcPr>
            <w:tcW w:w="0" w:type="auto"/>
            <w:tcBorders>
              <w:top w:val="nil"/>
              <w:left w:val="nil"/>
              <w:bottom w:val="nil"/>
              <w:right w:val="nil"/>
            </w:tcBorders>
          </w:tcPr>
          <w:p w14:paraId="43A96706" w14:textId="564BB110" w:rsidR="00AA5C6B" w:rsidRPr="00066FD9" w:rsidRDefault="00FE27B1" w:rsidP="00AA5C6B">
            <w:pPr>
              <w:widowControl w:val="0"/>
              <w:autoSpaceDE w:val="0"/>
              <w:autoSpaceDN w:val="0"/>
              <w:adjustRightInd w:val="0"/>
              <w:spacing w:before="100" w:beforeAutospacing="1" w:after="100" w:afterAutospacing="1"/>
              <w:contextualSpacing/>
            </w:pPr>
            <w:r>
              <w:t>Treatment</w:t>
            </w:r>
            <w:r w:rsidR="00AA5C6B">
              <w:t xml:space="preserve"> X Year </w:t>
            </w:r>
          </w:p>
        </w:tc>
        <w:tc>
          <w:tcPr>
            <w:tcW w:w="0" w:type="auto"/>
            <w:tcBorders>
              <w:top w:val="nil"/>
              <w:left w:val="nil"/>
              <w:bottom w:val="nil"/>
              <w:right w:val="nil"/>
            </w:tcBorders>
          </w:tcPr>
          <w:p w14:paraId="54E21CD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0179E8E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CE9D777"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1FBC46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62A97B8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AF3DB9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1F1EB8AA" w14:textId="77777777" w:rsidTr="000A4CCE">
        <w:tc>
          <w:tcPr>
            <w:tcW w:w="0" w:type="auto"/>
            <w:tcBorders>
              <w:top w:val="nil"/>
              <w:left w:val="nil"/>
              <w:bottom w:val="nil"/>
              <w:right w:val="nil"/>
            </w:tcBorders>
          </w:tcPr>
          <w:p w14:paraId="6793EE43" w14:textId="68A2AC1E" w:rsidR="00AA5C6B" w:rsidRPr="00066FD9" w:rsidRDefault="00FE27B1" w:rsidP="00AA5C6B">
            <w:pPr>
              <w:widowControl w:val="0"/>
              <w:autoSpaceDE w:val="0"/>
              <w:autoSpaceDN w:val="0"/>
              <w:adjustRightInd w:val="0"/>
              <w:spacing w:before="100" w:beforeAutospacing="1" w:after="100" w:afterAutospacing="1"/>
              <w:contextualSpacing/>
            </w:pPr>
            <w:r>
              <w:t>Treatment</w:t>
            </w:r>
            <w:r w:rsidR="00AA5C6B">
              <w:t xml:space="preserve"> X County </w:t>
            </w:r>
          </w:p>
        </w:tc>
        <w:tc>
          <w:tcPr>
            <w:tcW w:w="0" w:type="auto"/>
            <w:tcBorders>
              <w:top w:val="nil"/>
              <w:left w:val="nil"/>
              <w:bottom w:val="nil"/>
              <w:right w:val="nil"/>
            </w:tcBorders>
          </w:tcPr>
          <w:p w14:paraId="31286A71"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6882C51"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6119134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A04EAA7"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49AABF11"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670C41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56D8AA23" w14:textId="77777777" w:rsidTr="000A4CCE">
        <w:tc>
          <w:tcPr>
            <w:tcW w:w="0" w:type="auto"/>
            <w:tcBorders>
              <w:top w:val="nil"/>
              <w:left w:val="nil"/>
              <w:bottom w:val="nil"/>
              <w:right w:val="nil"/>
            </w:tcBorders>
          </w:tcPr>
          <w:p w14:paraId="789F083A" w14:textId="77777777" w:rsidR="00AA5C6B" w:rsidRPr="00066FD9" w:rsidRDefault="00AA5C6B" w:rsidP="00AA5C6B">
            <w:pPr>
              <w:widowControl w:val="0"/>
              <w:autoSpaceDE w:val="0"/>
              <w:autoSpaceDN w:val="0"/>
              <w:adjustRightInd w:val="0"/>
              <w:spacing w:before="100" w:beforeAutospacing="1" w:after="100" w:afterAutospacing="1"/>
              <w:contextualSpacing/>
            </w:pPr>
            <w:r>
              <w:t xml:space="preserve">County X Older </w:t>
            </w:r>
          </w:p>
        </w:tc>
        <w:tc>
          <w:tcPr>
            <w:tcW w:w="0" w:type="auto"/>
            <w:tcBorders>
              <w:top w:val="nil"/>
              <w:left w:val="nil"/>
              <w:bottom w:val="nil"/>
              <w:right w:val="nil"/>
            </w:tcBorders>
          </w:tcPr>
          <w:p w14:paraId="080B9B4D"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405180C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11C57DA1"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6071333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1C6F236"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8470005"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4C364F87" w14:textId="77777777" w:rsidTr="000A4CCE">
        <w:tc>
          <w:tcPr>
            <w:tcW w:w="0" w:type="auto"/>
            <w:tcBorders>
              <w:top w:val="nil"/>
              <w:left w:val="nil"/>
              <w:bottom w:val="nil"/>
              <w:right w:val="nil"/>
            </w:tcBorders>
          </w:tcPr>
          <w:p w14:paraId="5103F753" w14:textId="77777777" w:rsidR="00AA5C6B" w:rsidRPr="00066FD9" w:rsidRDefault="00AA5C6B" w:rsidP="00AA5C6B">
            <w:pPr>
              <w:widowControl w:val="0"/>
              <w:autoSpaceDE w:val="0"/>
              <w:autoSpaceDN w:val="0"/>
              <w:adjustRightInd w:val="0"/>
              <w:spacing w:before="100" w:beforeAutospacing="1" w:after="100" w:afterAutospacing="1"/>
              <w:contextualSpacing/>
            </w:pPr>
            <w:r>
              <w:t>Year X Urban</w:t>
            </w:r>
          </w:p>
        </w:tc>
        <w:tc>
          <w:tcPr>
            <w:tcW w:w="0" w:type="auto"/>
            <w:tcBorders>
              <w:top w:val="nil"/>
              <w:left w:val="nil"/>
              <w:bottom w:val="nil"/>
              <w:right w:val="nil"/>
            </w:tcBorders>
          </w:tcPr>
          <w:p w14:paraId="2034199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09C6D26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2B81BE3D"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B6BEC53"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6655EE89"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09ACFB6E"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30A4072C" w14:textId="77777777" w:rsidTr="000A4CCE">
        <w:tc>
          <w:tcPr>
            <w:tcW w:w="0" w:type="auto"/>
            <w:tcBorders>
              <w:top w:val="nil"/>
              <w:left w:val="nil"/>
              <w:bottom w:val="nil"/>
              <w:right w:val="nil"/>
            </w:tcBorders>
          </w:tcPr>
          <w:p w14:paraId="5A95BA18" w14:textId="77777777" w:rsidR="00AA5C6B" w:rsidRDefault="00AA5C6B" w:rsidP="00AA5C6B">
            <w:pPr>
              <w:widowControl w:val="0"/>
              <w:autoSpaceDE w:val="0"/>
              <w:autoSpaceDN w:val="0"/>
              <w:adjustRightInd w:val="0"/>
              <w:spacing w:before="100" w:beforeAutospacing="1" w:after="100" w:afterAutospacing="1"/>
              <w:contextualSpacing/>
            </w:pPr>
            <w:r>
              <w:t>Year X Older</w:t>
            </w:r>
          </w:p>
        </w:tc>
        <w:tc>
          <w:tcPr>
            <w:tcW w:w="0" w:type="auto"/>
            <w:tcBorders>
              <w:top w:val="nil"/>
              <w:left w:val="nil"/>
              <w:bottom w:val="nil"/>
              <w:right w:val="nil"/>
            </w:tcBorders>
          </w:tcPr>
          <w:p w14:paraId="3D111292"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53023B70"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17AF0DB5"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1ADA050"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6CEBE272"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305B10E6"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098BCFB5" w14:textId="77777777" w:rsidTr="000A4CCE">
        <w:tc>
          <w:tcPr>
            <w:tcW w:w="0" w:type="auto"/>
            <w:tcBorders>
              <w:top w:val="nil"/>
              <w:left w:val="nil"/>
              <w:bottom w:val="nil"/>
              <w:right w:val="nil"/>
            </w:tcBorders>
          </w:tcPr>
          <w:p w14:paraId="1FB3DEA1" w14:textId="77777777" w:rsidR="00AA5C6B" w:rsidRPr="00066FD9" w:rsidRDefault="00AA5C6B" w:rsidP="00AA5C6B">
            <w:pPr>
              <w:widowControl w:val="0"/>
              <w:autoSpaceDE w:val="0"/>
              <w:autoSpaceDN w:val="0"/>
              <w:adjustRightInd w:val="0"/>
              <w:spacing w:before="100" w:beforeAutospacing="1" w:after="100" w:afterAutospacing="1"/>
              <w:contextualSpacing/>
            </w:pPr>
            <w:r w:rsidRPr="00066FD9">
              <w:t>Observations</w:t>
            </w:r>
          </w:p>
        </w:tc>
        <w:tc>
          <w:tcPr>
            <w:tcW w:w="0" w:type="auto"/>
            <w:tcBorders>
              <w:top w:val="nil"/>
              <w:left w:val="nil"/>
              <w:bottom w:val="nil"/>
              <w:right w:val="nil"/>
            </w:tcBorders>
          </w:tcPr>
          <w:p w14:paraId="52709071" w14:textId="77777777" w:rsidR="00AA5C6B" w:rsidRDefault="00AA5C6B" w:rsidP="00AA5C6B">
            <w:pPr>
              <w:widowControl w:val="0"/>
              <w:autoSpaceDE w:val="0"/>
              <w:autoSpaceDN w:val="0"/>
              <w:adjustRightInd w:val="0"/>
              <w:spacing w:before="100" w:beforeAutospacing="1" w:after="100" w:afterAutospacing="1"/>
              <w:contextualSpacing/>
              <w:jc w:val="center"/>
            </w:pPr>
            <w:r>
              <w:t>1,524</w:t>
            </w:r>
          </w:p>
        </w:tc>
        <w:tc>
          <w:tcPr>
            <w:tcW w:w="0" w:type="auto"/>
            <w:tcBorders>
              <w:top w:val="nil"/>
              <w:left w:val="nil"/>
              <w:bottom w:val="nil"/>
              <w:right w:val="nil"/>
            </w:tcBorders>
          </w:tcPr>
          <w:p w14:paraId="4362239B" w14:textId="77777777" w:rsidR="00AA5C6B" w:rsidRDefault="00AA5C6B" w:rsidP="00AA5C6B">
            <w:pPr>
              <w:widowControl w:val="0"/>
              <w:autoSpaceDE w:val="0"/>
              <w:autoSpaceDN w:val="0"/>
              <w:adjustRightInd w:val="0"/>
              <w:spacing w:before="100" w:beforeAutospacing="1" w:after="100" w:afterAutospacing="1"/>
              <w:contextualSpacing/>
              <w:jc w:val="center"/>
            </w:pPr>
            <w:r>
              <w:t>1,524</w:t>
            </w:r>
          </w:p>
        </w:tc>
        <w:tc>
          <w:tcPr>
            <w:tcW w:w="0" w:type="auto"/>
            <w:tcBorders>
              <w:top w:val="nil"/>
              <w:left w:val="nil"/>
              <w:bottom w:val="nil"/>
              <w:right w:val="nil"/>
            </w:tcBorders>
          </w:tcPr>
          <w:p w14:paraId="26FCC202" w14:textId="77777777" w:rsidR="00AA5C6B" w:rsidRDefault="00AA5C6B" w:rsidP="00AA5C6B">
            <w:pPr>
              <w:widowControl w:val="0"/>
              <w:autoSpaceDE w:val="0"/>
              <w:autoSpaceDN w:val="0"/>
              <w:adjustRightInd w:val="0"/>
              <w:spacing w:before="100" w:beforeAutospacing="1" w:after="100" w:afterAutospacing="1"/>
              <w:contextualSpacing/>
              <w:jc w:val="center"/>
            </w:pPr>
            <w:r>
              <w:t>1,524</w:t>
            </w:r>
          </w:p>
        </w:tc>
        <w:tc>
          <w:tcPr>
            <w:tcW w:w="0" w:type="auto"/>
            <w:tcBorders>
              <w:top w:val="nil"/>
              <w:left w:val="nil"/>
              <w:bottom w:val="nil"/>
              <w:right w:val="nil"/>
            </w:tcBorders>
          </w:tcPr>
          <w:p w14:paraId="49AB9241" w14:textId="77777777" w:rsidR="00AA5C6B" w:rsidRDefault="00AA5C6B" w:rsidP="00AA5C6B">
            <w:pPr>
              <w:widowControl w:val="0"/>
              <w:autoSpaceDE w:val="0"/>
              <w:autoSpaceDN w:val="0"/>
              <w:adjustRightInd w:val="0"/>
              <w:spacing w:before="100" w:beforeAutospacing="1" w:after="100" w:afterAutospacing="1"/>
              <w:contextualSpacing/>
              <w:jc w:val="center"/>
            </w:pPr>
            <w:r>
              <w:t>1,522</w:t>
            </w:r>
          </w:p>
        </w:tc>
        <w:tc>
          <w:tcPr>
            <w:tcW w:w="0" w:type="auto"/>
            <w:tcBorders>
              <w:top w:val="nil"/>
              <w:left w:val="nil"/>
              <w:bottom w:val="nil"/>
              <w:right w:val="nil"/>
            </w:tcBorders>
          </w:tcPr>
          <w:p w14:paraId="5616A50C" w14:textId="77777777" w:rsidR="00AA5C6B" w:rsidRDefault="00AA5C6B" w:rsidP="00AA5C6B">
            <w:pPr>
              <w:widowControl w:val="0"/>
              <w:autoSpaceDE w:val="0"/>
              <w:autoSpaceDN w:val="0"/>
              <w:adjustRightInd w:val="0"/>
              <w:spacing w:before="100" w:beforeAutospacing="1" w:after="100" w:afterAutospacing="1"/>
              <w:contextualSpacing/>
              <w:jc w:val="center"/>
            </w:pPr>
            <w:r>
              <w:t>1,522</w:t>
            </w:r>
          </w:p>
        </w:tc>
        <w:tc>
          <w:tcPr>
            <w:tcW w:w="0" w:type="auto"/>
            <w:tcBorders>
              <w:top w:val="nil"/>
              <w:left w:val="nil"/>
              <w:bottom w:val="nil"/>
              <w:right w:val="nil"/>
            </w:tcBorders>
          </w:tcPr>
          <w:p w14:paraId="3DC6AA9B" w14:textId="77777777" w:rsidR="00AA5C6B" w:rsidRDefault="00AA5C6B" w:rsidP="00AA5C6B">
            <w:pPr>
              <w:widowControl w:val="0"/>
              <w:autoSpaceDE w:val="0"/>
              <w:autoSpaceDN w:val="0"/>
              <w:adjustRightInd w:val="0"/>
              <w:spacing w:before="100" w:beforeAutospacing="1" w:after="100" w:afterAutospacing="1"/>
              <w:contextualSpacing/>
              <w:jc w:val="center"/>
            </w:pPr>
            <w:r>
              <w:t>1,522</w:t>
            </w:r>
          </w:p>
        </w:tc>
      </w:tr>
      <w:tr w:rsidR="00AA5C6B" w:rsidRPr="00066FD9" w14:paraId="4CF99FE9" w14:textId="77777777" w:rsidTr="000A4CCE">
        <w:tblPrEx>
          <w:tblBorders>
            <w:bottom w:val="single" w:sz="6" w:space="0" w:color="auto"/>
          </w:tblBorders>
        </w:tblPrEx>
        <w:tc>
          <w:tcPr>
            <w:tcW w:w="0" w:type="auto"/>
            <w:tcBorders>
              <w:top w:val="nil"/>
              <w:left w:val="nil"/>
              <w:bottom w:val="single" w:sz="6" w:space="0" w:color="auto"/>
              <w:right w:val="nil"/>
            </w:tcBorders>
          </w:tcPr>
          <w:p w14:paraId="53AC0C99" w14:textId="77777777" w:rsidR="00AA5C6B" w:rsidRPr="00066FD9" w:rsidRDefault="00AA5C6B" w:rsidP="00AA5C6B">
            <w:pPr>
              <w:widowControl w:val="0"/>
              <w:autoSpaceDE w:val="0"/>
              <w:autoSpaceDN w:val="0"/>
              <w:adjustRightInd w:val="0"/>
              <w:spacing w:before="100" w:beforeAutospacing="1" w:after="100" w:afterAutospacing="1"/>
              <w:contextualSpacing/>
            </w:pPr>
            <w:r w:rsidRPr="00066FD9">
              <w:t>R-squared</w:t>
            </w:r>
          </w:p>
        </w:tc>
        <w:tc>
          <w:tcPr>
            <w:tcW w:w="0" w:type="auto"/>
            <w:tcBorders>
              <w:top w:val="nil"/>
              <w:left w:val="nil"/>
              <w:bottom w:val="single" w:sz="6" w:space="0" w:color="auto"/>
              <w:right w:val="nil"/>
            </w:tcBorders>
          </w:tcPr>
          <w:p w14:paraId="0A6C2C1E" w14:textId="77777777" w:rsidR="00AA5C6B" w:rsidRDefault="00AA5C6B" w:rsidP="00AA5C6B">
            <w:pPr>
              <w:widowControl w:val="0"/>
              <w:autoSpaceDE w:val="0"/>
              <w:autoSpaceDN w:val="0"/>
              <w:adjustRightInd w:val="0"/>
              <w:spacing w:before="100" w:beforeAutospacing="1" w:after="100" w:afterAutospacing="1"/>
              <w:contextualSpacing/>
              <w:jc w:val="center"/>
            </w:pPr>
            <w:r>
              <w:t>0.975</w:t>
            </w:r>
          </w:p>
        </w:tc>
        <w:tc>
          <w:tcPr>
            <w:tcW w:w="0" w:type="auto"/>
            <w:tcBorders>
              <w:top w:val="nil"/>
              <w:left w:val="nil"/>
              <w:bottom w:val="single" w:sz="6" w:space="0" w:color="auto"/>
              <w:right w:val="nil"/>
            </w:tcBorders>
          </w:tcPr>
          <w:p w14:paraId="72E528E7" w14:textId="77777777" w:rsidR="00AA5C6B" w:rsidRDefault="00AA5C6B" w:rsidP="00AA5C6B">
            <w:pPr>
              <w:widowControl w:val="0"/>
              <w:autoSpaceDE w:val="0"/>
              <w:autoSpaceDN w:val="0"/>
              <w:adjustRightInd w:val="0"/>
              <w:spacing w:before="100" w:beforeAutospacing="1" w:after="100" w:afterAutospacing="1"/>
              <w:contextualSpacing/>
              <w:jc w:val="center"/>
            </w:pPr>
            <w:r>
              <w:t>0.982</w:t>
            </w:r>
          </w:p>
        </w:tc>
        <w:tc>
          <w:tcPr>
            <w:tcW w:w="0" w:type="auto"/>
            <w:tcBorders>
              <w:top w:val="nil"/>
              <w:left w:val="nil"/>
              <w:bottom w:val="single" w:sz="6" w:space="0" w:color="auto"/>
              <w:right w:val="nil"/>
            </w:tcBorders>
          </w:tcPr>
          <w:p w14:paraId="5C5F13FC" w14:textId="77777777" w:rsidR="00AA5C6B" w:rsidRDefault="00AA5C6B" w:rsidP="00AA5C6B">
            <w:pPr>
              <w:widowControl w:val="0"/>
              <w:autoSpaceDE w:val="0"/>
              <w:autoSpaceDN w:val="0"/>
              <w:adjustRightInd w:val="0"/>
              <w:spacing w:before="100" w:beforeAutospacing="1" w:after="100" w:afterAutospacing="1"/>
              <w:contextualSpacing/>
              <w:jc w:val="center"/>
            </w:pPr>
            <w:r>
              <w:t>0.986</w:t>
            </w:r>
          </w:p>
        </w:tc>
        <w:tc>
          <w:tcPr>
            <w:tcW w:w="0" w:type="auto"/>
            <w:tcBorders>
              <w:top w:val="nil"/>
              <w:left w:val="nil"/>
              <w:bottom w:val="single" w:sz="6" w:space="0" w:color="auto"/>
              <w:right w:val="nil"/>
            </w:tcBorders>
          </w:tcPr>
          <w:p w14:paraId="468EA44E" w14:textId="77777777" w:rsidR="00AA5C6B" w:rsidRDefault="00AA5C6B" w:rsidP="00AA5C6B">
            <w:pPr>
              <w:widowControl w:val="0"/>
              <w:autoSpaceDE w:val="0"/>
              <w:autoSpaceDN w:val="0"/>
              <w:adjustRightInd w:val="0"/>
              <w:spacing w:before="100" w:beforeAutospacing="1" w:after="100" w:afterAutospacing="1"/>
              <w:contextualSpacing/>
              <w:jc w:val="center"/>
            </w:pPr>
            <w:r>
              <w:t>0.975</w:t>
            </w:r>
          </w:p>
        </w:tc>
        <w:tc>
          <w:tcPr>
            <w:tcW w:w="0" w:type="auto"/>
            <w:tcBorders>
              <w:top w:val="nil"/>
              <w:left w:val="nil"/>
              <w:bottom w:val="single" w:sz="6" w:space="0" w:color="auto"/>
              <w:right w:val="nil"/>
            </w:tcBorders>
          </w:tcPr>
          <w:p w14:paraId="6942248B" w14:textId="77777777" w:rsidR="00AA5C6B" w:rsidRDefault="00AA5C6B" w:rsidP="00AA5C6B">
            <w:pPr>
              <w:widowControl w:val="0"/>
              <w:autoSpaceDE w:val="0"/>
              <w:autoSpaceDN w:val="0"/>
              <w:adjustRightInd w:val="0"/>
              <w:spacing w:before="100" w:beforeAutospacing="1" w:after="100" w:afterAutospacing="1"/>
              <w:contextualSpacing/>
              <w:jc w:val="center"/>
            </w:pPr>
            <w:r>
              <w:t>0.979</w:t>
            </w:r>
          </w:p>
        </w:tc>
        <w:tc>
          <w:tcPr>
            <w:tcW w:w="0" w:type="auto"/>
            <w:tcBorders>
              <w:top w:val="nil"/>
              <w:left w:val="nil"/>
              <w:bottom w:val="single" w:sz="6" w:space="0" w:color="auto"/>
              <w:right w:val="nil"/>
            </w:tcBorders>
          </w:tcPr>
          <w:p w14:paraId="2980CB07" w14:textId="77777777" w:rsidR="00AA5C6B" w:rsidRDefault="00AA5C6B" w:rsidP="00AA5C6B">
            <w:pPr>
              <w:widowControl w:val="0"/>
              <w:autoSpaceDE w:val="0"/>
              <w:autoSpaceDN w:val="0"/>
              <w:adjustRightInd w:val="0"/>
              <w:spacing w:before="100" w:beforeAutospacing="1" w:after="100" w:afterAutospacing="1"/>
              <w:contextualSpacing/>
              <w:jc w:val="center"/>
            </w:pPr>
            <w:r>
              <w:t>0.984</w:t>
            </w:r>
          </w:p>
        </w:tc>
      </w:tr>
    </w:tbl>
    <w:p w14:paraId="40602BF3" w14:textId="2E1E7767" w:rsidR="000A4CCE" w:rsidRDefault="00AA5C6B" w:rsidP="00AA5C6B">
      <w:pPr>
        <w:widowControl w:val="0"/>
        <w:autoSpaceDE w:val="0"/>
        <w:autoSpaceDN w:val="0"/>
        <w:adjustRightInd w:val="0"/>
        <w:spacing w:before="0" w:after="0"/>
        <w:rPr>
          <w:rFonts w:eastAsiaTheme="minorEastAsia"/>
        </w:rPr>
      </w:pPr>
      <w:r>
        <w:t xml:space="preserve">NOTES: The table presents results from six separate regressions of the (log) mean housing value by age. </w:t>
      </w:r>
      <w:r w:rsidR="000A4CCE">
        <w:t xml:space="preserve"> Column </w:t>
      </w:r>
      <w:r>
        <w:t>(1) reports results for Equation</w:t>
      </w:r>
      <w:r w:rsidR="000A4CCE">
        <w:t> </w:t>
      </w:r>
      <w:r>
        <w:t>(</w:t>
      </w:r>
      <w:r w:rsidR="008B4734">
        <w:t>2</w:t>
      </w:r>
      <w:r>
        <w:t>).</w:t>
      </w:r>
      <w:r w:rsidR="000A4CCE">
        <w:t xml:space="preserve"> </w:t>
      </w:r>
      <w:r>
        <w:t xml:space="preserve"> </w:t>
      </w:r>
      <w:r w:rsidR="000A4CCE">
        <w:t>Column </w:t>
      </w:r>
      <w:r>
        <w:t>(2) replaces the county and decade fixed effects in Equation</w:t>
      </w:r>
      <w:r w:rsidR="000A4CCE">
        <w:t> </w:t>
      </w:r>
      <w:r>
        <w:t>(</w:t>
      </w:r>
      <w:r w:rsidR="008B4734">
        <w:t>2</w:t>
      </w:r>
      <w:r>
        <w:t xml:space="preserve">) with exemption-year and exemption-county interactions. </w:t>
      </w:r>
      <w:r w:rsidR="000A4CCE">
        <w:t>Column </w:t>
      </w:r>
      <w:r>
        <w:t xml:space="preserve">(3) adds county-age, year-urban status, and year-age interactions to the specification in </w:t>
      </w:r>
      <w:r w:rsidR="000A4CCE">
        <w:t>Column </w:t>
      </w:r>
      <w:r>
        <w:t>(2). Panel</w:t>
      </w:r>
      <w:r w:rsidR="000A4CCE">
        <w:t> </w:t>
      </w:r>
      <w:r>
        <w:t xml:space="preserve">A uses the </w:t>
      </w:r>
      <w:r>
        <w:rPr>
          <w:rFonts w:eastAsiaTheme="minorEastAsia"/>
        </w:rPr>
        <w:t>housing unit weighted average of indicator variables denoting any age-based property tax exemption in the county and covered cities. Panel</w:t>
      </w:r>
      <w:r w:rsidR="000A4CCE">
        <w:rPr>
          <w:rFonts w:eastAsiaTheme="minorEastAsia"/>
        </w:rPr>
        <w:t> </w:t>
      </w:r>
      <w:r>
        <w:rPr>
          <w:rFonts w:eastAsiaTheme="minorEastAsia"/>
        </w:rPr>
        <w:t xml:space="preserve">B uses the inverse ratio of under 65 to over 65 simulated property taxes as the measure of the age-based property tax exemption treatment. </w:t>
      </w:r>
    </w:p>
    <w:p w14:paraId="6B9D8F96" w14:textId="77777777" w:rsidR="000A4CCE" w:rsidRDefault="00AA5C6B" w:rsidP="00AA5C6B">
      <w:pPr>
        <w:widowControl w:val="0"/>
        <w:autoSpaceDE w:val="0"/>
        <w:autoSpaceDN w:val="0"/>
        <w:adjustRightInd w:val="0"/>
        <w:spacing w:before="0" w:after="0"/>
        <w:rPr>
          <w:rFonts w:eastAsiaTheme="minorEastAsia"/>
        </w:rPr>
      </w:pPr>
      <w:r>
        <w:rPr>
          <w:rFonts w:eastAsiaTheme="minorEastAsia"/>
        </w:rPr>
        <w:t xml:space="preserve">Robust standard errors clustered at the county level are reported in parentheses. </w:t>
      </w:r>
    </w:p>
    <w:p w14:paraId="1F789BB7" w14:textId="169A6036" w:rsidR="00AA5C6B" w:rsidRDefault="00AA5C6B" w:rsidP="00AA5C6B">
      <w:pPr>
        <w:widowControl w:val="0"/>
        <w:autoSpaceDE w:val="0"/>
        <w:autoSpaceDN w:val="0"/>
        <w:adjustRightInd w:val="0"/>
        <w:spacing w:before="0" w:after="0"/>
      </w:pPr>
      <w:r>
        <w:t>*** p&lt;0.01, ** p&lt;0.05, * p&lt;0.1</w:t>
      </w:r>
    </w:p>
    <w:p w14:paraId="70FA8ECC" w14:textId="77777777" w:rsidR="00AA5C6B" w:rsidRDefault="00AA5C6B" w:rsidP="00AA5C6B">
      <w:pPr>
        <w:spacing w:before="0" w:after="0"/>
        <w:contextualSpacing/>
      </w:pPr>
      <w:r>
        <w:rPr>
          <w:b/>
        </w:rPr>
        <w:br w:type="page"/>
      </w:r>
    </w:p>
    <w:p w14:paraId="574527B6" w14:textId="77777777" w:rsidR="00AA5C6B" w:rsidRPr="007F3719" w:rsidRDefault="00AA5C6B" w:rsidP="00AA5C6B">
      <w:pPr>
        <w:spacing w:before="0" w:after="0"/>
        <w:contextualSpacing/>
        <w:rPr>
          <w:b/>
        </w:rPr>
      </w:pPr>
      <w:r w:rsidRPr="007F3719">
        <w:rPr>
          <w:b/>
        </w:rPr>
        <w:lastRenderedPageBreak/>
        <w:t xml:space="preserve">Table </w:t>
      </w:r>
      <w:r>
        <w:rPr>
          <w:b/>
        </w:rPr>
        <w:t>7</w:t>
      </w:r>
      <w:r w:rsidRPr="007F3719">
        <w:rPr>
          <w:b/>
        </w:rPr>
        <w:t xml:space="preserve">. </w:t>
      </w:r>
      <w:r>
        <w:rPr>
          <w:b/>
        </w:rPr>
        <w:t>Percent change in mean housing value</w:t>
      </w:r>
      <w:r w:rsidRPr="007F3719">
        <w:rPr>
          <w:b/>
        </w:rPr>
        <w:t xml:space="preserve"> </w:t>
      </w:r>
      <w:r>
        <w:rPr>
          <w:b/>
        </w:rPr>
        <w:t>triple</w:t>
      </w:r>
      <w:r w:rsidRPr="007F3719">
        <w:rPr>
          <w:b/>
        </w:rPr>
        <w:t xml:space="preserve">-difference </w:t>
      </w:r>
    </w:p>
    <w:tbl>
      <w:tblPr>
        <w:tblW w:w="0" w:type="auto"/>
        <w:jc w:val="center"/>
        <w:tblCellMar>
          <w:left w:w="75" w:type="dxa"/>
          <w:right w:w="75" w:type="dxa"/>
        </w:tblCellMar>
        <w:tblLook w:val="0000" w:firstRow="0" w:lastRow="0" w:firstColumn="0" w:lastColumn="0" w:noHBand="0" w:noVBand="0"/>
      </w:tblPr>
      <w:tblGrid>
        <w:gridCol w:w="2137"/>
        <w:gridCol w:w="1170"/>
        <w:gridCol w:w="1170"/>
        <w:gridCol w:w="1130"/>
        <w:gridCol w:w="1130"/>
        <w:gridCol w:w="1130"/>
        <w:gridCol w:w="970"/>
      </w:tblGrid>
      <w:tr w:rsidR="00AA5C6B" w:rsidRPr="00066FD9" w14:paraId="3347FD43" w14:textId="77777777" w:rsidTr="00AA5C6B">
        <w:trPr>
          <w:jc w:val="center"/>
        </w:trPr>
        <w:tc>
          <w:tcPr>
            <w:tcW w:w="0" w:type="auto"/>
            <w:tcBorders>
              <w:top w:val="single" w:sz="6" w:space="0" w:color="auto"/>
              <w:left w:val="nil"/>
              <w:bottom w:val="nil"/>
              <w:right w:val="nil"/>
            </w:tcBorders>
          </w:tcPr>
          <w:p w14:paraId="131157D9"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gridSpan w:val="3"/>
            <w:tcBorders>
              <w:top w:val="single" w:sz="6" w:space="0" w:color="auto"/>
              <w:left w:val="nil"/>
              <w:bottom w:val="single" w:sz="4" w:space="0" w:color="auto"/>
              <w:right w:val="nil"/>
            </w:tcBorders>
          </w:tcPr>
          <w:p w14:paraId="1B63D46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Panel A: Exemption Indicator</w:t>
            </w:r>
          </w:p>
        </w:tc>
        <w:tc>
          <w:tcPr>
            <w:tcW w:w="0" w:type="auto"/>
            <w:gridSpan w:val="3"/>
            <w:tcBorders>
              <w:top w:val="single" w:sz="6" w:space="0" w:color="auto"/>
              <w:left w:val="nil"/>
              <w:bottom w:val="single" w:sz="4" w:space="0" w:color="auto"/>
              <w:right w:val="nil"/>
            </w:tcBorders>
          </w:tcPr>
          <w:p w14:paraId="5FD96D6E"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Panel B: Simulated Tax Ratio</w:t>
            </w:r>
          </w:p>
        </w:tc>
      </w:tr>
      <w:tr w:rsidR="00AA5C6B" w:rsidRPr="00066FD9" w14:paraId="2D7E104B" w14:textId="77777777" w:rsidTr="00AA5C6B">
        <w:trPr>
          <w:jc w:val="center"/>
        </w:trPr>
        <w:tc>
          <w:tcPr>
            <w:tcW w:w="0" w:type="auto"/>
            <w:tcBorders>
              <w:top w:val="nil"/>
              <w:left w:val="nil"/>
              <w:bottom w:val="nil"/>
              <w:right w:val="nil"/>
            </w:tcBorders>
          </w:tcPr>
          <w:p w14:paraId="6BCBC72F" w14:textId="77777777" w:rsidR="00AA5C6B" w:rsidRPr="00066FD9" w:rsidRDefault="00AA5C6B" w:rsidP="00AA5C6B">
            <w:pPr>
              <w:widowControl w:val="0"/>
              <w:autoSpaceDE w:val="0"/>
              <w:autoSpaceDN w:val="0"/>
              <w:adjustRightInd w:val="0"/>
              <w:spacing w:before="100" w:beforeAutospacing="1" w:after="100" w:afterAutospacing="1"/>
              <w:contextualSpacing/>
            </w:pPr>
          </w:p>
        </w:tc>
        <w:tc>
          <w:tcPr>
            <w:tcW w:w="0" w:type="auto"/>
            <w:tcBorders>
              <w:top w:val="single" w:sz="4" w:space="0" w:color="auto"/>
              <w:left w:val="nil"/>
              <w:bottom w:val="nil"/>
              <w:right w:val="nil"/>
            </w:tcBorders>
          </w:tcPr>
          <w:p w14:paraId="03A539B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(1)</w:t>
            </w:r>
          </w:p>
        </w:tc>
        <w:tc>
          <w:tcPr>
            <w:tcW w:w="0" w:type="auto"/>
            <w:tcBorders>
              <w:top w:val="single" w:sz="4" w:space="0" w:color="auto"/>
              <w:left w:val="nil"/>
              <w:bottom w:val="nil"/>
              <w:right w:val="nil"/>
            </w:tcBorders>
          </w:tcPr>
          <w:p w14:paraId="74A484E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(2)</w:t>
            </w:r>
          </w:p>
        </w:tc>
        <w:tc>
          <w:tcPr>
            <w:tcW w:w="0" w:type="auto"/>
            <w:tcBorders>
              <w:top w:val="single" w:sz="4" w:space="0" w:color="auto"/>
              <w:left w:val="nil"/>
              <w:bottom w:val="nil"/>
              <w:right w:val="nil"/>
            </w:tcBorders>
          </w:tcPr>
          <w:p w14:paraId="668ADD04"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(3)</w:t>
            </w:r>
          </w:p>
        </w:tc>
        <w:tc>
          <w:tcPr>
            <w:tcW w:w="0" w:type="auto"/>
            <w:tcBorders>
              <w:top w:val="single" w:sz="4" w:space="0" w:color="auto"/>
              <w:left w:val="nil"/>
              <w:bottom w:val="nil"/>
              <w:right w:val="nil"/>
            </w:tcBorders>
          </w:tcPr>
          <w:p w14:paraId="784DD9A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(1)</w:t>
            </w:r>
          </w:p>
        </w:tc>
        <w:tc>
          <w:tcPr>
            <w:tcW w:w="0" w:type="auto"/>
            <w:tcBorders>
              <w:top w:val="single" w:sz="4" w:space="0" w:color="auto"/>
              <w:left w:val="nil"/>
              <w:bottom w:val="nil"/>
              <w:right w:val="nil"/>
            </w:tcBorders>
          </w:tcPr>
          <w:p w14:paraId="5DA4283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(2)</w:t>
            </w:r>
          </w:p>
        </w:tc>
        <w:tc>
          <w:tcPr>
            <w:tcW w:w="0" w:type="auto"/>
            <w:tcBorders>
              <w:top w:val="single" w:sz="4" w:space="0" w:color="auto"/>
              <w:left w:val="nil"/>
              <w:bottom w:val="nil"/>
              <w:right w:val="nil"/>
            </w:tcBorders>
          </w:tcPr>
          <w:p w14:paraId="7DA7E80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rsidRPr="00066FD9">
              <w:t>(3)</w:t>
            </w:r>
          </w:p>
        </w:tc>
      </w:tr>
      <w:tr w:rsidR="001A6A23" w:rsidRPr="00066FD9" w14:paraId="2B2F625C" w14:textId="77777777" w:rsidTr="00AA5C6B">
        <w:trPr>
          <w:jc w:val="center"/>
        </w:trPr>
        <w:tc>
          <w:tcPr>
            <w:tcW w:w="0" w:type="auto"/>
            <w:tcBorders>
              <w:top w:val="nil"/>
              <w:left w:val="nil"/>
              <w:bottom w:val="nil"/>
              <w:right w:val="nil"/>
            </w:tcBorders>
          </w:tcPr>
          <w:p w14:paraId="5843D181" w14:textId="1B90E1ED" w:rsidR="001A6A23" w:rsidRPr="00066FD9" w:rsidRDefault="001A6A23" w:rsidP="001A6A23">
            <w:pPr>
              <w:widowControl w:val="0"/>
              <w:autoSpaceDE w:val="0"/>
              <w:autoSpaceDN w:val="0"/>
              <w:adjustRightInd w:val="0"/>
              <w:spacing w:before="100" w:beforeAutospacing="1" w:after="100" w:afterAutospacing="1"/>
              <w:contextualSpacing/>
            </w:pPr>
            <w:r>
              <w:t>Treatment X O</w:t>
            </w:r>
            <w:r w:rsidRPr="00066FD9">
              <w:t>lder</w:t>
            </w:r>
          </w:p>
        </w:tc>
        <w:tc>
          <w:tcPr>
            <w:tcW w:w="0" w:type="auto"/>
            <w:tcBorders>
              <w:top w:val="nil"/>
              <w:left w:val="nil"/>
              <w:bottom w:val="nil"/>
              <w:right w:val="nil"/>
            </w:tcBorders>
          </w:tcPr>
          <w:p w14:paraId="3CC92DE9" w14:textId="61D765AF" w:rsidR="001A6A23" w:rsidRDefault="001A6A23" w:rsidP="001A6A23">
            <w:pPr>
              <w:widowControl w:val="0"/>
              <w:autoSpaceDE w:val="0"/>
              <w:autoSpaceDN w:val="0"/>
              <w:adjustRightInd w:val="0"/>
              <w:spacing w:before="100" w:beforeAutospacing="1" w:after="100" w:afterAutospacing="1"/>
              <w:contextualSpacing/>
              <w:jc w:val="center"/>
            </w:pPr>
            <w:r>
              <w:t>0.0813***</w:t>
            </w:r>
          </w:p>
        </w:tc>
        <w:tc>
          <w:tcPr>
            <w:tcW w:w="0" w:type="auto"/>
            <w:tcBorders>
              <w:top w:val="nil"/>
              <w:left w:val="nil"/>
              <w:bottom w:val="nil"/>
              <w:right w:val="nil"/>
            </w:tcBorders>
          </w:tcPr>
          <w:p w14:paraId="0CF31AA4" w14:textId="1F64DE6A" w:rsidR="001A6A23" w:rsidRDefault="001A6A23" w:rsidP="001A6A23">
            <w:pPr>
              <w:widowControl w:val="0"/>
              <w:autoSpaceDE w:val="0"/>
              <w:autoSpaceDN w:val="0"/>
              <w:adjustRightInd w:val="0"/>
              <w:spacing w:before="100" w:beforeAutospacing="1" w:after="100" w:afterAutospacing="1"/>
              <w:contextualSpacing/>
              <w:jc w:val="center"/>
            </w:pPr>
            <w:r>
              <w:t>0.0813***</w:t>
            </w:r>
          </w:p>
        </w:tc>
        <w:tc>
          <w:tcPr>
            <w:tcW w:w="0" w:type="auto"/>
            <w:tcBorders>
              <w:top w:val="nil"/>
              <w:left w:val="nil"/>
              <w:bottom w:val="nil"/>
              <w:right w:val="nil"/>
            </w:tcBorders>
          </w:tcPr>
          <w:p w14:paraId="6551B4A2" w14:textId="7BB55B4D" w:rsidR="001A6A23" w:rsidRDefault="001A6A23" w:rsidP="001A6A23">
            <w:pPr>
              <w:widowControl w:val="0"/>
              <w:autoSpaceDE w:val="0"/>
              <w:autoSpaceDN w:val="0"/>
              <w:adjustRightInd w:val="0"/>
              <w:spacing w:before="100" w:beforeAutospacing="1" w:after="100" w:afterAutospacing="1"/>
              <w:contextualSpacing/>
              <w:jc w:val="center"/>
            </w:pPr>
            <w:r>
              <w:t>-0.0698*</w:t>
            </w:r>
          </w:p>
        </w:tc>
        <w:tc>
          <w:tcPr>
            <w:tcW w:w="0" w:type="auto"/>
            <w:tcBorders>
              <w:top w:val="nil"/>
              <w:left w:val="nil"/>
              <w:bottom w:val="nil"/>
              <w:right w:val="nil"/>
            </w:tcBorders>
          </w:tcPr>
          <w:p w14:paraId="0A8B8764" w14:textId="777C8E28" w:rsidR="001A6A23" w:rsidRDefault="001A6A23" w:rsidP="001A6A23">
            <w:pPr>
              <w:widowControl w:val="0"/>
              <w:autoSpaceDE w:val="0"/>
              <w:autoSpaceDN w:val="0"/>
              <w:adjustRightInd w:val="0"/>
              <w:spacing w:before="100" w:beforeAutospacing="1" w:after="100" w:afterAutospacing="1"/>
              <w:contextualSpacing/>
              <w:jc w:val="center"/>
            </w:pPr>
            <w:r>
              <w:t>0.419***</w:t>
            </w:r>
          </w:p>
        </w:tc>
        <w:tc>
          <w:tcPr>
            <w:tcW w:w="0" w:type="auto"/>
            <w:tcBorders>
              <w:top w:val="nil"/>
              <w:left w:val="nil"/>
              <w:bottom w:val="nil"/>
              <w:right w:val="nil"/>
            </w:tcBorders>
          </w:tcPr>
          <w:p w14:paraId="25D5C752" w14:textId="00669809" w:rsidR="001A6A23" w:rsidRDefault="001A6A23" w:rsidP="001A6A23">
            <w:pPr>
              <w:widowControl w:val="0"/>
              <w:autoSpaceDE w:val="0"/>
              <w:autoSpaceDN w:val="0"/>
              <w:adjustRightInd w:val="0"/>
              <w:spacing w:before="100" w:beforeAutospacing="1" w:after="100" w:afterAutospacing="1"/>
              <w:contextualSpacing/>
              <w:jc w:val="center"/>
            </w:pPr>
            <w:r>
              <w:t>0.419***</w:t>
            </w:r>
          </w:p>
        </w:tc>
        <w:tc>
          <w:tcPr>
            <w:tcW w:w="0" w:type="auto"/>
            <w:tcBorders>
              <w:top w:val="nil"/>
              <w:left w:val="nil"/>
              <w:bottom w:val="nil"/>
              <w:right w:val="nil"/>
            </w:tcBorders>
          </w:tcPr>
          <w:p w14:paraId="154C4CEA" w14:textId="7AE33C5A" w:rsidR="001A6A23" w:rsidRDefault="001A6A23" w:rsidP="001A6A23">
            <w:pPr>
              <w:widowControl w:val="0"/>
              <w:autoSpaceDE w:val="0"/>
              <w:autoSpaceDN w:val="0"/>
              <w:adjustRightInd w:val="0"/>
              <w:spacing w:before="100" w:beforeAutospacing="1" w:after="100" w:afterAutospacing="1"/>
              <w:contextualSpacing/>
              <w:jc w:val="center"/>
            </w:pPr>
            <w:r>
              <w:t>-0.152*</w:t>
            </w:r>
          </w:p>
        </w:tc>
      </w:tr>
      <w:tr w:rsidR="001A6A23" w:rsidRPr="00066FD9" w14:paraId="006D835C" w14:textId="77777777" w:rsidTr="00AA5C6B">
        <w:trPr>
          <w:jc w:val="center"/>
        </w:trPr>
        <w:tc>
          <w:tcPr>
            <w:tcW w:w="0" w:type="auto"/>
            <w:tcBorders>
              <w:top w:val="nil"/>
              <w:left w:val="nil"/>
              <w:bottom w:val="nil"/>
              <w:right w:val="nil"/>
            </w:tcBorders>
          </w:tcPr>
          <w:p w14:paraId="53DD237C" w14:textId="77777777" w:rsidR="001A6A23" w:rsidRPr="00066FD9" w:rsidRDefault="001A6A23" w:rsidP="001A6A23">
            <w:pPr>
              <w:widowControl w:val="0"/>
              <w:autoSpaceDE w:val="0"/>
              <w:autoSpaceDN w:val="0"/>
              <w:adjustRightInd w:val="0"/>
              <w:spacing w:before="100" w:beforeAutospacing="1" w:after="100" w:afterAutospacing="1"/>
              <w:contextualSpacing/>
            </w:pPr>
          </w:p>
        </w:tc>
        <w:tc>
          <w:tcPr>
            <w:tcW w:w="0" w:type="auto"/>
            <w:tcBorders>
              <w:top w:val="nil"/>
              <w:left w:val="nil"/>
              <w:bottom w:val="nil"/>
              <w:right w:val="nil"/>
            </w:tcBorders>
          </w:tcPr>
          <w:p w14:paraId="65A7317F" w14:textId="7A8F338B" w:rsidR="001A6A23" w:rsidRDefault="001A6A23" w:rsidP="001A6A23">
            <w:pPr>
              <w:widowControl w:val="0"/>
              <w:autoSpaceDE w:val="0"/>
              <w:autoSpaceDN w:val="0"/>
              <w:adjustRightInd w:val="0"/>
              <w:spacing w:before="100" w:beforeAutospacing="1" w:after="100" w:afterAutospacing="1"/>
              <w:contextualSpacing/>
              <w:jc w:val="center"/>
            </w:pPr>
            <w:r>
              <w:t>(0.0197)</w:t>
            </w:r>
          </w:p>
        </w:tc>
        <w:tc>
          <w:tcPr>
            <w:tcW w:w="0" w:type="auto"/>
            <w:tcBorders>
              <w:top w:val="nil"/>
              <w:left w:val="nil"/>
              <w:bottom w:val="nil"/>
              <w:right w:val="nil"/>
            </w:tcBorders>
          </w:tcPr>
          <w:p w14:paraId="5A22D317" w14:textId="62B94478" w:rsidR="001A6A23" w:rsidRDefault="001A6A23" w:rsidP="001A6A23">
            <w:pPr>
              <w:widowControl w:val="0"/>
              <w:autoSpaceDE w:val="0"/>
              <w:autoSpaceDN w:val="0"/>
              <w:adjustRightInd w:val="0"/>
              <w:spacing w:before="100" w:beforeAutospacing="1" w:after="100" w:afterAutospacing="1"/>
              <w:contextualSpacing/>
              <w:jc w:val="center"/>
            </w:pPr>
            <w:r>
              <w:t>(0.0205)</w:t>
            </w:r>
          </w:p>
        </w:tc>
        <w:tc>
          <w:tcPr>
            <w:tcW w:w="0" w:type="auto"/>
            <w:tcBorders>
              <w:top w:val="nil"/>
              <w:left w:val="nil"/>
              <w:bottom w:val="nil"/>
              <w:right w:val="nil"/>
            </w:tcBorders>
          </w:tcPr>
          <w:p w14:paraId="05090029" w14:textId="78849BDD" w:rsidR="001A6A23" w:rsidRDefault="001A6A23" w:rsidP="001A6A23">
            <w:pPr>
              <w:widowControl w:val="0"/>
              <w:autoSpaceDE w:val="0"/>
              <w:autoSpaceDN w:val="0"/>
              <w:adjustRightInd w:val="0"/>
              <w:spacing w:before="100" w:beforeAutospacing="1" w:after="100" w:afterAutospacing="1"/>
              <w:contextualSpacing/>
              <w:jc w:val="center"/>
            </w:pPr>
            <w:r>
              <w:t>(0.0382)</w:t>
            </w:r>
          </w:p>
        </w:tc>
        <w:tc>
          <w:tcPr>
            <w:tcW w:w="0" w:type="auto"/>
            <w:tcBorders>
              <w:top w:val="nil"/>
              <w:left w:val="nil"/>
              <w:bottom w:val="nil"/>
              <w:right w:val="nil"/>
            </w:tcBorders>
          </w:tcPr>
          <w:p w14:paraId="4557E076" w14:textId="125C592F" w:rsidR="001A6A23" w:rsidRDefault="001A6A23" w:rsidP="001A6A23">
            <w:pPr>
              <w:widowControl w:val="0"/>
              <w:autoSpaceDE w:val="0"/>
              <w:autoSpaceDN w:val="0"/>
              <w:adjustRightInd w:val="0"/>
              <w:spacing w:before="100" w:beforeAutospacing="1" w:after="100" w:afterAutospacing="1"/>
              <w:contextualSpacing/>
              <w:jc w:val="center"/>
            </w:pPr>
            <w:r>
              <w:t>(0.0679)</w:t>
            </w:r>
          </w:p>
        </w:tc>
        <w:tc>
          <w:tcPr>
            <w:tcW w:w="0" w:type="auto"/>
            <w:tcBorders>
              <w:top w:val="nil"/>
              <w:left w:val="nil"/>
              <w:bottom w:val="nil"/>
              <w:right w:val="nil"/>
            </w:tcBorders>
          </w:tcPr>
          <w:p w14:paraId="574AF837" w14:textId="7BD62920" w:rsidR="001A6A23" w:rsidRDefault="001A6A23" w:rsidP="001A6A23">
            <w:pPr>
              <w:widowControl w:val="0"/>
              <w:autoSpaceDE w:val="0"/>
              <w:autoSpaceDN w:val="0"/>
              <w:adjustRightInd w:val="0"/>
              <w:spacing w:before="100" w:beforeAutospacing="1" w:after="100" w:afterAutospacing="1"/>
              <w:contextualSpacing/>
              <w:jc w:val="center"/>
            </w:pPr>
            <w:r>
              <w:t>(0.0739)</w:t>
            </w:r>
          </w:p>
        </w:tc>
        <w:tc>
          <w:tcPr>
            <w:tcW w:w="0" w:type="auto"/>
            <w:tcBorders>
              <w:top w:val="nil"/>
              <w:left w:val="nil"/>
              <w:bottom w:val="nil"/>
              <w:right w:val="nil"/>
            </w:tcBorders>
          </w:tcPr>
          <w:p w14:paraId="72213EA7" w14:textId="61F4B4A6" w:rsidR="001A6A23" w:rsidRDefault="001A6A23" w:rsidP="001A6A23">
            <w:pPr>
              <w:widowControl w:val="0"/>
              <w:autoSpaceDE w:val="0"/>
              <w:autoSpaceDN w:val="0"/>
              <w:adjustRightInd w:val="0"/>
              <w:spacing w:before="100" w:beforeAutospacing="1" w:after="100" w:afterAutospacing="1"/>
              <w:contextualSpacing/>
              <w:jc w:val="center"/>
            </w:pPr>
            <w:r>
              <w:t>(0.0898)</w:t>
            </w:r>
          </w:p>
        </w:tc>
      </w:tr>
      <w:tr w:rsidR="001A6A23" w:rsidRPr="00066FD9" w14:paraId="0D1A819D" w14:textId="77777777" w:rsidTr="00AA5C6B">
        <w:trPr>
          <w:jc w:val="center"/>
        </w:trPr>
        <w:tc>
          <w:tcPr>
            <w:tcW w:w="0" w:type="auto"/>
            <w:tcBorders>
              <w:top w:val="nil"/>
              <w:left w:val="nil"/>
              <w:bottom w:val="nil"/>
              <w:right w:val="nil"/>
            </w:tcBorders>
          </w:tcPr>
          <w:p w14:paraId="0455091D" w14:textId="1E2A1784" w:rsidR="001A6A23" w:rsidRPr="00066FD9" w:rsidRDefault="001A6A23" w:rsidP="001A6A23">
            <w:pPr>
              <w:widowControl w:val="0"/>
              <w:autoSpaceDE w:val="0"/>
              <w:autoSpaceDN w:val="0"/>
              <w:adjustRightInd w:val="0"/>
              <w:spacing w:before="100" w:beforeAutospacing="1" w:after="100" w:afterAutospacing="1"/>
              <w:contextualSpacing/>
            </w:pPr>
            <w:r>
              <w:t>Treatment</w:t>
            </w:r>
          </w:p>
        </w:tc>
        <w:tc>
          <w:tcPr>
            <w:tcW w:w="0" w:type="auto"/>
            <w:tcBorders>
              <w:top w:val="nil"/>
              <w:left w:val="nil"/>
              <w:bottom w:val="nil"/>
              <w:right w:val="nil"/>
            </w:tcBorders>
          </w:tcPr>
          <w:p w14:paraId="4D4B42DA" w14:textId="03C3203F" w:rsidR="001A6A23" w:rsidRDefault="001A6A23" w:rsidP="001A6A23">
            <w:pPr>
              <w:widowControl w:val="0"/>
              <w:autoSpaceDE w:val="0"/>
              <w:autoSpaceDN w:val="0"/>
              <w:adjustRightInd w:val="0"/>
              <w:spacing w:before="100" w:beforeAutospacing="1" w:after="100" w:afterAutospacing="1"/>
              <w:contextualSpacing/>
              <w:jc w:val="center"/>
            </w:pPr>
            <w:r>
              <w:t>-0.131***</w:t>
            </w:r>
          </w:p>
        </w:tc>
        <w:tc>
          <w:tcPr>
            <w:tcW w:w="0" w:type="auto"/>
            <w:tcBorders>
              <w:top w:val="nil"/>
              <w:left w:val="nil"/>
              <w:bottom w:val="nil"/>
              <w:right w:val="nil"/>
            </w:tcBorders>
          </w:tcPr>
          <w:p w14:paraId="5B5075B3" w14:textId="6FB8BF7D" w:rsidR="001A6A23" w:rsidRDefault="001A6A23" w:rsidP="001A6A23">
            <w:pPr>
              <w:widowControl w:val="0"/>
              <w:autoSpaceDE w:val="0"/>
              <w:autoSpaceDN w:val="0"/>
              <w:adjustRightInd w:val="0"/>
              <w:spacing w:before="100" w:beforeAutospacing="1" w:after="100" w:afterAutospacing="1"/>
              <w:contextualSpacing/>
              <w:jc w:val="center"/>
            </w:pPr>
            <w:r>
              <w:t>-2.713***</w:t>
            </w:r>
          </w:p>
        </w:tc>
        <w:tc>
          <w:tcPr>
            <w:tcW w:w="0" w:type="auto"/>
            <w:tcBorders>
              <w:top w:val="nil"/>
              <w:left w:val="nil"/>
              <w:bottom w:val="nil"/>
              <w:right w:val="nil"/>
            </w:tcBorders>
          </w:tcPr>
          <w:p w14:paraId="38C04013" w14:textId="1D971DDE" w:rsidR="001A6A23" w:rsidRDefault="001A6A23" w:rsidP="001A6A23">
            <w:pPr>
              <w:widowControl w:val="0"/>
              <w:autoSpaceDE w:val="0"/>
              <w:autoSpaceDN w:val="0"/>
              <w:adjustRightInd w:val="0"/>
              <w:spacing w:before="100" w:beforeAutospacing="1" w:after="100" w:afterAutospacing="1"/>
              <w:contextualSpacing/>
              <w:jc w:val="center"/>
            </w:pPr>
            <w:r>
              <w:t>-2.691***</w:t>
            </w:r>
          </w:p>
        </w:tc>
        <w:tc>
          <w:tcPr>
            <w:tcW w:w="0" w:type="auto"/>
            <w:tcBorders>
              <w:top w:val="nil"/>
              <w:left w:val="nil"/>
              <w:bottom w:val="nil"/>
              <w:right w:val="nil"/>
            </w:tcBorders>
          </w:tcPr>
          <w:p w14:paraId="4266EFE5" w14:textId="49618013" w:rsidR="001A6A23" w:rsidRDefault="001A6A23" w:rsidP="001A6A23">
            <w:pPr>
              <w:widowControl w:val="0"/>
              <w:autoSpaceDE w:val="0"/>
              <w:autoSpaceDN w:val="0"/>
              <w:adjustRightInd w:val="0"/>
              <w:spacing w:before="100" w:beforeAutospacing="1" w:after="100" w:afterAutospacing="1"/>
              <w:contextualSpacing/>
              <w:jc w:val="center"/>
            </w:pPr>
            <w:r>
              <w:t>-0.501***</w:t>
            </w:r>
          </w:p>
        </w:tc>
        <w:tc>
          <w:tcPr>
            <w:tcW w:w="0" w:type="auto"/>
            <w:tcBorders>
              <w:top w:val="nil"/>
              <w:left w:val="nil"/>
              <w:bottom w:val="nil"/>
              <w:right w:val="nil"/>
            </w:tcBorders>
          </w:tcPr>
          <w:p w14:paraId="020DF99D" w14:textId="3C7B3C1C" w:rsidR="001A6A23" w:rsidRDefault="001A6A23" w:rsidP="001A6A23">
            <w:pPr>
              <w:widowControl w:val="0"/>
              <w:autoSpaceDE w:val="0"/>
              <w:autoSpaceDN w:val="0"/>
              <w:adjustRightInd w:val="0"/>
              <w:spacing w:before="100" w:beforeAutospacing="1" w:after="100" w:afterAutospacing="1"/>
              <w:contextualSpacing/>
              <w:jc w:val="center"/>
            </w:pPr>
            <w:r>
              <w:t>-0.404***</w:t>
            </w:r>
          </w:p>
        </w:tc>
        <w:tc>
          <w:tcPr>
            <w:tcW w:w="0" w:type="auto"/>
            <w:tcBorders>
              <w:top w:val="nil"/>
              <w:left w:val="nil"/>
              <w:bottom w:val="nil"/>
              <w:right w:val="nil"/>
            </w:tcBorders>
          </w:tcPr>
          <w:p w14:paraId="6D2DB235" w14:textId="5EBDC487" w:rsidR="001A6A23" w:rsidRDefault="001A6A23" w:rsidP="001A6A23">
            <w:pPr>
              <w:widowControl w:val="0"/>
              <w:autoSpaceDE w:val="0"/>
              <w:autoSpaceDN w:val="0"/>
              <w:adjustRightInd w:val="0"/>
              <w:spacing w:before="100" w:beforeAutospacing="1" w:after="100" w:afterAutospacing="1"/>
              <w:contextualSpacing/>
              <w:jc w:val="center"/>
            </w:pPr>
            <w:r>
              <w:t>-0.0408</w:t>
            </w:r>
          </w:p>
        </w:tc>
      </w:tr>
      <w:tr w:rsidR="001A6A23" w:rsidRPr="00066FD9" w14:paraId="55E97470" w14:textId="77777777" w:rsidTr="00AA5C6B">
        <w:trPr>
          <w:jc w:val="center"/>
        </w:trPr>
        <w:tc>
          <w:tcPr>
            <w:tcW w:w="0" w:type="auto"/>
            <w:tcBorders>
              <w:top w:val="nil"/>
              <w:left w:val="nil"/>
              <w:bottom w:val="nil"/>
              <w:right w:val="nil"/>
            </w:tcBorders>
          </w:tcPr>
          <w:p w14:paraId="4CEB0CDF" w14:textId="77777777" w:rsidR="001A6A23" w:rsidRPr="00066FD9" w:rsidRDefault="001A6A23" w:rsidP="001A6A23">
            <w:pPr>
              <w:widowControl w:val="0"/>
              <w:autoSpaceDE w:val="0"/>
              <w:autoSpaceDN w:val="0"/>
              <w:adjustRightInd w:val="0"/>
              <w:spacing w:before="100" w:beforeAutospacing="1" w:after="100" w:afterAutospacing="1"/>
              <w:contextualSpacing/>
            </w:pPr>
          </w:p>
        </w:tc>
        <w:tc>
          <w:tcPr>
            <w:tcW w:w="0" w:type="auto"/>
            <w:tcBorders>
              <w:top w:val="nil"/>
              <w:left w:val="nil"/>
              <w:bottom w:val="nil"/>
              <w:right w:val="nil"/>
            </w:tcBorders>
          </w:tcPr>
          <w:p w14:paraId="7059A0A0" w14:textId="31295E63" w:rsidR="001A6A23" w:rsidRDefault="001A6A23" w:rsidP="001A6A23">
            <w:pPr>
              <w:widowControl w:val="0"/>
              <w:autoSpaceDE w:val="0"/>
              <w:autoSpaceDN w:val="0"/>
              <w:adjustRightInd w:val="0"/>
              <w:spacing w:before="100" w:beforeAutospacing="1" w:after="100" w:afterAutospacing="1"/>
              <w:contextualSpacing/>
              <w:jc w:val="center"/>
            </w:pPr>
            <w:r>
              <w:t>(0.0280)</w:t>
            </w:r>
          </w:p>
        </w:tc>
        <w:tc>
          <w:tcPr>
            <w:tcW w:w="0" w:type="auto"/>
            <w:tcBorders>
              <w:top w:val="nil"/>
              <w:left w:val="nil"/>
              <w:bottom w:val="nil"/>
              <w:right w:val="nil"/>
            </w:tcBorders>
          </w:tcPr>
          <w:p w14:paraId="3973FD42" w14:textId="1B16D2A9" w:rsidR="001A6A23" w:rsidRDefault="001A6A23" w:rsidP="001A6A23">
            <w:pPr>
              <w:widowControl w:val="0"/>
              <w:autoSpaceDE w:val="0"/>
              <w:autoSpaceDN w:val="0"/>
              <w:adjustRightInd w:val="0"/>
              <w:spacing w:before="100" w:beforeAutospacing="1" w:after="100" w:afterAutospacing="1"/>
              <w:contextualSpacing/>
              <w:jc w:val="center"/>
            </w:pPr>
            <w:r>
              <w:t>(0.347)</w:t>
            </w:r>
          </w:p>
        </w:tc>
        <w:tc>
          <w:tcPr>
            <w:tcW w:w="0" w:type="auto"/>
            <w:tcBorders>
              <w:top w:val="nil"/>
              <w:left w:val="nil"/>
              <w:bottom w:val="nil"/>
              <w:right w:val="nil"/>
            </w:tcBorders>
          </w:tcPr>
          <w:p w14:paraId="31C78C71" w14:textId="559C56F0" w:rsidR="001A6A23" w:rsidRDefault="001A6A23" w:rsidP="001A6A23">
            <w:pPr>
              <w:widowControl w:val="0"/>
              <w:autoSpaceDE w:val="0"/>
              <w:autoSpaceDN w:val="0"/>
              <w:adjustRightInd w:val="0"/>
              <w:spacing w:before="100" w:beforeAutospacing="1" w:after="100" w:afterAutospacing="1"/>
              <w:contextualSpacing/>
              <w:jc w:val="center"/>
            </w:pPr>
            <w:r>
              <w:t>(0.401)</w:t>
            </w:r>
          </w:p>
        </w:tc>
        <w:tc>
          <w:tcPr>
            <w:tcW w:w="0" w:type="auto"/>
            <w:tcBorders>
              <w:top w:val="nil"/>
              <w:left w:val="nil"/>
              <w:bottom w:val="nil"/>
              <w:right w:val="nil"/>
            </w:tcBorders>
          </w:tcPr>
          <w:p w14:paraId="4F639F1F" w14:textId="69C02235" w:rsidR="001A6A23" w:rsidRDefault="001A6A23" w:rsidP="001A6A23">
            <w:pPr>
              <w:widowControl w:val="0"/>
              <w:autoSpaceDE w:val="0"/>
              <w:autoSpaceDN w:val="0"/>
              <w:adjustRightInd w:val="0"/>
              <w:spacing w:before="100" w:beforeAutospacing="1" w:after="100" w:afterAutospacing="1"/>
              <w:contextualSpacing/>
              <w:jc w:val="center"/>
            </w:pPr>
            <w:r>
              <w:t>(0.0637)</w:t>
            </w:r>
          </w:p>
        </w:tc>
        <w:tc>
          <w:tcPr>
            <w:tcW w:w="0" w:type="auto"/>
            <w:tcBorders>
              <w:top w:val="nil"/>
              <w:left w:val="nil"/>
              <w:bottom w:val="nil"/>
              <w:right w:val="nil"/>
            </w:tcBorders>
          </w:tcPr>
          <w:p w14:paraId="3BDC3A75" w14:textId="0AED301C" w:rsidR="001A6A23" w:rsidRDefault="001A6A23" w:rsidP="001A6A23">
            <w:pPr>
              <w:widowControl w:val="0"/>
              <w:autoSpaceDE w:val="0"/>
              <w:autoSpaceDN w:val="0"/>
              <w:adjustRightInd w:val="0"/>
              <w:spacing w:before="100" w:beforeAutospacing="1" w:after="100" w:afterAutospacing="1"/>
              <w:contextualSpacing/>
              <w:jc w:val="center"/>
            </w:pPr>
            <w:r>
              <w:t>(0.0623)</w:t>
            </w:r>
          </w:p>
        </w:tc>
        <w:tc>
          <w:tcPr>
            <w:tcW w:w="0" w:type="auto"/>
            <w:tcBorders>
              <w:top w:val="nil"/>
              <w:left w:val="nil"/>
              <w:bottom w:val="nil"/>
              <w:right w:val="nil"/>
            </w:tcBorders>
          </w:tcPr>
          <w:p w14:paraId="0ABB7E50" w14:textId="485B6861" w:rsidR="001A6A23" w:rsidRDefault="001A6A23" w:rsidP="001A6A23">
            <w:pPr>
              <w:widowControl w:val="0"/>
              <w:autoSpaceDE w:val="0"/>
              <w:autoSpaceDN w:val="0"/>
              <w:adjustRightInd w:val="0"/>
              <w:spacing w:before="100" w:beforeAutospacing="1" w:after="100" w:afterAutospacing="1"/>
              <w:contextualSpacing/>
              <w:jc w:val="center"/>
            </w:pPr>
            <w:r>
              <w:t>(0.0899)</w:t>
            </w:r>
          </w:p>
        </w:tc>
      </w:tr>
      <w:tr w:rsidR="00AA5C6B" w:rsidRPr="00066FD9" w14:paraId="6A632B8A" w14:textId="77777777" w:rsidTr="00AA5C6B">
        <w:trPr>
          <w:jc w:val="center"/>
        </w:trPr>
        <w:tc>
          <w:tcPr>
            <w:tcW w:w="0" w:type="auto"/>
            <w:tcBorders>
              <w:top w:val="nil"/>
              <w:left w:val="nil"/>
              <w:bottom w:val="nil"/>
              <w:right w:val="nil"/>
            </w:tcBorders>
          </w:tcPr>
          <w:p w14:paraId="7824E16C" w14:textId="77777777" w:rsidR="00AA5C6B" w:rsidRDefault="00AA5C6B" w:rsidP="00AA5C6B">
            <w:pPr>
              <w:widowControl w:val="0"/>
              <w:autoSpaceDE w:val="0"/>
              <w:autoSpaceDN w:val="0"/>
              <w:adjustRightInd w:val="0"/>
              <w:spacing w:before="100" w:beforeAutospacing="1" w:after="100" w:afterAutospacing="1"/>
              <w:contextualSpacing/>
            </w:pPr>
            <w:r>
              <w:t xml:space="preserve">Older </w:t>
            </w:r>
          </w:p>
        </w:tc>
        <w:tc>
          <w:tcPr>
            <w:tcW w:w="0" w:type="auto"/>
            <w:tcBorders>
              <w:top w:val="nil"/>
              <w:left w:val="nil"/>
              <w:bottom w:val="nil"/>
              <w:right w:val="nil"/>
            </w:tcBorders>
          </w:tcPr>
          <w:p w14:paraId="39E8EC4A"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7BD96B2"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F4AECE6"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86F2345"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5AA907AC"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1984A32"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7AB2D812" w14:textId="77777777" w:rsidTr="00AA5C6B">
        <w:trPr>
          <w:jc w:val="center"/>
        </w:trPr>
        <w:tc>
          <w:tcPr>
            <w:tcW w:w="0" w:type="auto"/>
            <w:tcBorders>
              <w:top w:val="nil"/>
              <w:left w:val="nil"/>
              <w:bottom w:val="nil"/>
              <w:right w:val="nil"/>
            </w:tcBorders>
          </w:tcPr>
          <w:p w14:paraId="798A42FE" w14:textId="77777777" w:rsidR="00AA5C6B" w:rsidRPr="00066FD9" w:rsidRDefault="00AA5C6B" w:rsidP="00AA5C6B">
            <w:pPr>
              <w:widowControl w:val="0"/>
              <w:autoSpaceDE w:val="0"/>
              <w:autoSpaceDN w:val="0"/>
              <w:adjustRightInd w:val="0"/>
              <w:spacing w:before="100" w:beforeAutospacing="1" w:after="100" w:afterAutospacing="1"/>
              <w:contextualSpacing/>
            </w:pPr>
            <w:r>
              <w:t>County FE</w:t>
            </w:r>
          </w:p>
        </w:tc>
        <w:tc>
          <w:tcPr>
            <w:tcW w:w="0" w:type="auto"/>
            <w:tcBorders>
              <w:top w:val="nil"/>
              <w:left w:val="nil"/>
              <w:bottom w:val="nil"/>
              <w:right w:val="nil"/>
            </w:tcBorders>
          </w:tcPr>
          <w:p w14:paraId="4838FFC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DB8AE7C" w14:textId="74B1DE13"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10AB24C" w14:textId="66A16E52"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5266F2FD"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5284A488" w14:textId="5A121D86"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5A8E054" w14:textId="04038070" w:rsidR="00AA5C6B" w:rsidRPr="00066FD9" w:rsidRDefault="00DF1D2A" w:rsidP="00AA5C6B">
            <w:pPr>
              <w:widowControl w:val="0"/>
              <w:autoSpaceDE w:val="0"/>
              <w:autoSpaceDN w:val="0"/>
              <w:adjustRightInd w:val="0"/>
              <w:spacing w:before="100" w:beforeAutospacing="1" w:after="100" w:afterAutospacing="1"/>
              <w:contextualSpacing/>
              <w:jc w:val="center"/>
            </w:pPr>
            <w:r>
              <w:t>Y</w:t>
            </w:r>
          </w:p>
        </w:tc>
      </w:tr>
      <w:tr w:rsidR="00AA5C6B" w:rsidRPr="00066FD9" w14:paraId="3564CAFD" w14:textId="77777777" w:rsidTr="00AA5C6B">
        <w:trPr>
          <w:jc w:val="center"/>
        </w:trPr>
        <w:tc>
          <w:tcPr>
            <w:tcW w:w="0" w:type="auto"/>
            <w:tcBorders>
              <w:top w:val="nil"/>
              <w:left w:val="nil"/>
              <w:bottom w:val="nil"/>
              <w:right w:val="nil"/>
            </w:tcBorders>
          </w:tcPr>
          <w:p w14:paraId="3A181769" w14:textId="77777777" w:rsidR="00AA5C6B" w:rsidRPr="00066FD9" w:rsidRDefault="00AA5C6B" w:rsidP="00AA5C6B">
            <w:pPr>
              <w:widowControl w:val="0"/>
              <w:autoSpaceDE w:val="0"/>
              <w:autoSpaceDN w:val="0"/>
              <w:adjustRightInd w:val="0"/>
              <w:spacing w:before="100" w:beforeAutospacing="1" w:after="100" w:afterAutospacing="1"/>
              <w:contextualSpacing/>
            </w:pPr>
            <w:r>
              <w:t>Year FE</w:t>
            </w:r>
          </w:p>
        </w:tc>
        <w:tc>
          <w:tcPr>
            <w:tcW w:w="0" w:type="auto"/>
            <w:tcBorders>
              <w:top w:val="nil"/>
              <w:left w:val="nil"/>
              <w:bottom w:val="nil"/>
              <w:right w:val="nil"/>
            </w:tcBorders>
          </w:tcPr>
          <w:p w14:paraId="4946EE23"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12A8A2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80216E4"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334E8D2"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FD4786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551C2FD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53DFA383" w14:textId="77777777" w:rsidTr="00AA5C6B">
        <w:trPr>
          <w:jc w:val="center"/>
        </w:trPr>
        <w:tc>
          <w:tcPr>
            <w:tcW w:w="0" w:type="auto"/>
            <w:tcBorders>
              <w:top w:val="nil"/>
              <w:left w:val="nil"/>
              <w:bottom w:val="nil"/>
              <w:right w:val="nil"/>
            </w:tcBorders>
          </w:tcPr>
          <w:p w14:paraId="76CC0AFF" w14:textId="35525331" w:rsidR="00AA5C6B" w:rsidRPr="00066FD9" w:rsidRDefault="00FE27B1" w:rsidP="00AA5C6B">
            <w:pPr>
              <w:widowControl w:val="0"/>
              <w:autoSpaceDE w:val="0"/>
              <w:autoSpaceDN w:val="0"/>
              <w:adjustRightInd w:val="0"/>
              <w:spacing w:before="100" w:beforeAutospacing="1" w:after="100" w:afterAutospacing="1"/>
              <w:contextualSpacing/>
            </w:pPr>
            <w:r>
              <w:t>Treatment</w:t>
            </w:r>
            <w:r w:rsidR="00AA5C6B">
              <w:t xml:space="preserve"> X Year </w:t>
            </w:r>
          </w:p>
        </w:tc>
        <w:tc>
          <w:tcPr>
            <w:tcW w:w="0" w:type="auto"/>
            <w:tcBorders>
              <w:top w:val="nil"/>
              <w:left w:val="nil"/>
              <w:bottom w:val="nil"/>
              <w:right w:val="nil"/>
            </w:tcBorders>
          </w:tcPr>
          <w:p w14:paraId="0CCED698"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60B45BB"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97EFFD6"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0829739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3944EA5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23DF983A"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02771D6F" w14:textId="77777777" w:rsidTr="00AA5C6B">
        <w:trPr>
          <w:jc w:val="center"/>
        </w:trPr>
        <w:tc>
          <w:tcPr>
            <w:tcW w:w="0" w:type="auto"/>
            <w:tcBorders>
              <w:top w:val="nil"/>
              <w:left w:val="nil"/>
              <w:bottom w:val="nil"/>
              <w:right w:val="nil"/>
            </w:tcBorders>
          </w:tcPr>
          <w:p w14:paraId="4590CC81" w14:textId="00DC9213" w:rsidR="00AA5C6B" w:rsidRPr="00066FD9" w:rsidRDefault="00FE27B1" w:rsidP="00AA5C6B">
            <w:pPr>
              <w:widowControl w:val="0"/>
              <w:autoSpaceDE w:val="0"/>
              <w:autoSpaceDN w:val="0"/>
              <w:adjustRightInd w:val="0"/>
              <w:spacing w:before="100" w:beforeAutospacing="1" w:after="100" w:afterAutospacing="1"/>
              <w:contextualSpacing/>
            </w:pPr>
            <w:r>
              <w:t>Treatment</w:t>
            </w:r>
            <w:r w:rsidR="00AA5C6B">
              <w:t xml:space="preserve"> X County </w:t>
            </w:r>
          </w:p>
        </w:tc>
        <w:tc>
          <w:tcPr>
            <w:tcW w:w="0" w:type="auto"/>
            <w:tcBorders>
              <w:top w:val="nil"/>
              <w:left w:val="nil"/>
              <w:bottom w:val="nil"/>
              <w:right w:val="nil"/>
            </w:tcBorders>
          </w:tcPr>
          <w:p w14:paraId="5F024AA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5F5CD3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1CDAE4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AA500E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2720E05C"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334BEAAF"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3E50F4BC" w14:textId="77777777" w:rsidTr="00AA5C6B">
        <w:trPr>
          <w:jc w:val="center"/>
        </w:trPr>
        <w:tc>
          <w:tcPr>
            <w:tcW w:w="0" w:type="auto"/>
            <w:tcBorders>
              <w:top w:val="nil"/>
              <w:left w:val="nil"/>
              <w:bottom w:val="nil"/>
              <w:right w:val="nil"/>
            </w:tcBorders>
          </w:tcPr>
          <w:p w14:paraId="2EB0E758" w14:textId="77777777" w:rsidR="00AA5C6B" w:rsidRPr="00066FD9" w:rsidRDefault="00AA5C6B" w:rsidP="00AA5C6B">
            <w:pPr>
              <w:widowControl w:val="0"/>
              <w:autoSpaceDE w:val="0"/>
              <w:autoSpaceDN w:val="0"/>
              <w:adjustRightInd w:val="0"/>
              <w:spacing w:before="100" w:beforeAutospacing="1" w:after="100" w:afterAutospacing="1"/>
              <w:contextualSpacing/>
            </w:pPr>
            <w:r>
              <w:t xml:space="preserve">County X Older </w:t>
            </w:r>
          </w:p>
        </w:tc>
        <w:tc>
          <w:tcPr>
            <w:tcW w:w="0" w:type="auto"/>
            <w:tcBorders>
              <w:top w:val="nil"/>
              <w:left w:val="nil"/>
              <w:bottom w:val="nil"/>
              <w:right w:val="nil"/>
            </w:tcBorders>
          </w:tcPr>
          <w:p w14:paraId="53A7E167"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6A7F135E"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2816ED05"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128F939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291CBE60"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4EC03227"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7AF90AF7" w14:textId="77777777" w:rsidTr="00AA5C6B">
        <w:trPr>
          <w:jc w:val="center"/>
        </w:trPr>
        <w:tc>
          <w:tcPr>
            <w:tcW w:w="0" w:type="auto"/>
            <w:tcBorders>
              <w:top w:val="nil"/>
              <w:left w:val="nil"/>
              <w:bottom w:val="nil"/>
              <w:right w:val="nil"/>
            </w:tcBorders>
          </w:tcPr>
          <w:p w14:paraId="42C99FB9" w14:textId="77777777" w:rsidR="00AA5C6B" w:rsidRPr="00066FD9" w:rsidRDefault="00AA5C6B" w:rsidP="00AA5C6B">
            <w:pPr>
              <w:widowControl w:val="0"/>
              <w:autoSpaceDE w:val="0"/>
              <w:autoSpaceDN w:val="0"/>
              <w:adjustRightInd w:val="0"/>
              <w:spacing w:before="100" w:beforeAutospacing="1" w:after="100" w:afterAutospacing="1"/>
              <w:contextualSpacing/>
            </w:pPr>
            <w:r>
              <w:t>Year X Urban</w:t>
            </w:r>
          </w:p>
        </w:tc>
        <w:tc>
          <w:tcPr>
            <w:tcW w:w="0" w:type="auto"/>
            <w:tcBorders>
              <w:top w:val="nil"/>
              <w:left w:val="nil"/>
              <w:bottom w:val="nil"/>
              <w:right w:val="nil"/>
            </w:tcBorders>
          </w:tcPr>
          <w:p w14:paraId="4C01445D"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67A87A8D"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45725A19" w14:textId="77777777" w:rsidR="00AA5C6B" w:rsidRPr="00066FD9"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4EF759FB"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0243D76A"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7FABC031"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580C83A6" w14:textId="77777777" w:rsidTr="00AA5C6B">
        <w:trPr>
          <w:jc w:val="center"/>
        </w:trPr>
        <w:tc>
          <w:tcPr>
            <w:tcW w:w="0" w:type="auto"/>
            <w:tcBorders>
              <w:top w:val="nil"/>
              <w:left w:val="nil"/>
              <w:bottom w:val="nil"/>
              <w:right w:val="nil"/>
            </w:tcBorders>
          </w:tcPr>
          <w:p w14:paraId="3F269D8B" w14:textId="77777777" w:rsidR="00AA5C6B" w:rsidRDefault="00AA5C6B" w:rsidP="00AA5C6B">
            <w:pPr>
              <w:widowControl w:val="0"/>
              <w:autoSpaceDE w:val="0"/>
              <w:autoSpaceDN w:val="0"/>
              <w:adjustRightInd w:val="0"/>
              <w:spacing w:before="100" w:beforeAutospacing="1" w:after="100" w:afterAutospacing="1"/>
              <w:contextualSpacing/>
            </w:pPr>
            <w:r>
              <w:t>Year X Age</w:t>
            </w:r>
          </w:p>
        </w:tc>
        <w:tc>
          <w:tcPr>
            <w:tcW w:w="0" w:type="auto"/>
            <w:tcBorders>
              <w:top w:val="nil"/>
              <w:left w:val="nil"/>
              <w:bottom w:val="nil"/>
              <w:right w:val="nil"/>
            </w:tcBorders>
          </w:tcPr>
          <w:p w14:paraId="4776A20E"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2D33D4A5"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38718473"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c>
          <w:tcPr>
            <w:tcW w:w="0" w:type="auto"/>
            <w:tcBorders>
              <w:top w:val="nil"/>
              <w:left w:val="nil"/>
              <w:bottom w:val="nil"/>
              <w:right w:val="nil"/>
            </w:tcBorders>
          </w:tcPr>
          <w:p w14:paraId="75F306B1"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0754A91E" w14:textId="77777777" w:rsidR="00AA5C6B" w:rsidRDefault="00AA5C6B" w:rsidP="00AA5C6B">
            <w:pPr>
              <w:widowControl w:val="0"/>
              <w:autoSpaceDE w:val="0"/>
              <w:autoSpaceDN w:val="0"/>
              <w:adjustRightInd w:val="0"/>
              <w:spacing w:before="100" w:beforeAutospacing="1" w:after="100" w:afterAutospacing="1"/>
              <w:contextualSpacing/>
              <w:jc w:val="center"/>
            </w:pPr>
            <w:r>
              <w:t>N</w:t>
            </w:r>
          </w:p>
        </w:tc>
        <w:tc>
          <w:tcPr>
            <w:tcW w:w="0" w:type="auto"/>
            <w:tcBorders>
              <w:top w:val="nil"/>
              <w:left w:val="nil"/>
              <w:bottom w:val="nil"/>
              <w:right w:val="nil"/>
            </w:tcBorders>
          </w:tcPr>
          <w:p w14:paraId="55E89E44" w14:textId="77777777" w:rsidR="00AA5C6B" w:rsidRDefault="00AA5C6B" w:rsidP="00AA5C6B">
            <w:pPr>
              <w:widowControl w:val="0"/>
              <w:autoSpaceDE w:val="0"/>
              <w:autoSpaceDN w:val="0"/>
              <w:adjustRightInd w:val="0"/>
              <w:spacing w:before="100" w:beforeAutospacing="1" w:after="100" w:afterAutospacing="1"/>
              <w:contextualSpacing/>
              <w:jc w:val="center"/>
            </w:pPr>
            <w:r>
              <w:t>Y</w:t>
            </w:r>
          </w:p>
        </w:tc>
      </w:tr>
      <w:tr w:rsidR="00AA5C6B" w:rsidRPr="00066FD9" w14:paraId="74F8040C" w14:textId="77777777" w:rsidTr="00AA5C6B">
        <w:trPr>
          <w:jc w:val="center"/>
        </w:trPr>
        <w:tc>
          <w:tcPr>
            <w:tcW w:w="0" w:type="auto"/>
            <w:tcBorders>
              <w:top w:val="nil"/>
              <w:left w:val="nil"/>
              <w:bottom w:val="nil"/>
              <w:right w:val="nil"/>
            </w:tcBorders>
          </w:tcPr>
          <w:p w14:paraId="73235530" w14:textId="77777777" w:rsidR="00AA5C6B" w:rsidRPr="00066FD9" w:rsidRDefault="00AA5C6B" w:rsidP="00AA5C6B">
            <w:pPr>
              <w:widowControl w:val="0"/>
              <w:autoSpaceDE w:val="0"/>
              <w:autoSpaceDN w:val="0"/>
              <w:adjustRightInd w:val="0"/>
              <w:spacing w:before="100" w:beforeAutospacing="1" w:after="100" w:afterAutospacing="1"/>
              <w:contextualSpacing/>
            </w:pPr>
            <w:r w:rsidRPr="00066FD9">
              <w:t>Observations</w:t>
            </w:r>
          </w:p>
        </w:tc>
        <w:tc>
          <w:tcPr>
            <w:tcW w:w="0" w:type="auto"/>
            <w:tcBorders>
              <w:top w:val="nil"/>
              <w:left w:val="nil"/>
              <w:bottom w:val="nil"/>
              <w:right w:val="nil"/>
            </w:tcBorders>
          </w:tcPr>
          <w:p w14:paraId="2D880322"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c>
          <w:tcPr>
            <w:tcW w:w="0" w:type="auto"/>
            <w:tcBorders>
              <w:top w:val="nil"/>
              <w:left w:val="nil"/>
              <w:bottom w:val="nil"/>
              <w:right w:val="nil"/>
            </w:tcBorders>
          </w:tcPr>
          <w:p w14:paraId="55ECEA05"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c>
          <w:tcPr>
            <w:tcW w:w="0" w:type="auto"/>
            <w:tcBorders>
              <w:top w:val="nil"/>
              <w:left w:val="nil"/>
              <w:bottom w:val="nil"/>
              <w:right w:val="nil"/>
            </w:tcBorders>
          </w:tcPr>
          <w:p w14:paraId="7CDAA445"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c>
          <w:tcPr>
            <w:tcW w:w="0" w:type="auto"/>
            <w:tcBorders>
              <w:top w:val="nil"/>
              <w:left w:val="nil"/>
              <w:bottom w:val="nil"/>
              <w:right w:val="nil"/>
            </w:tcBorders>
          </w:tcPr>
          <w:p w14:paraId="6ADCDED4"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c>
          <w:tcPr>
            <w:tcW w:w="0" w:type="auto"/>
            <w:tcBorders>
              <w:top w:val="nil"/>
              <w:left w:val="nil"/>
              <w:bottom w:val="nil"/>
              <w:right w:val="nil"/>
            </w:tcBorders>
          </w:tcPr>
          <w:p w14:paraId="365D5D48"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c>
          <w:tcPr>
            <w:tcW w:w="0" w:type="auto"/>
            <w:tcBorders>
              <w:top w:val="nil"/>
              <w:left w:val="nil"/>
              <w:bottom w:val="nil"/>
              <w:right w:val="nil"/>
            </w:tcBorders>
          </w:tcPr>
          <w:p w14:paraId="36D06D25" w14:textId="77777777" w:rsidR="00AA5C6B" w:rsidRDefault="00AA5C6B" w:rsidP="00AA5C6B">
            <w:pPr>
              <w:widowControl w:val="0"/>
              <w:autoSpaceDE w:val="0"/>
              <w:autoSpaceDN w:val="0"/>
              <w:adjustRightInd w:val="0"/>
              <w:spacing w:before="100" w:beforeAutospacing="1" w:after="100" w:afterAutospacing="1"/>
              <w:contextualSpacing/>
              <w:jc w:val="center"/>
            </w:pPr>
            <w:r>
              <w:t>1,206</w:t>
            </w:r>
          </w:p>
        </w:tc>
      </w:tr>
      <w:tr w:rsidR="001A6A23" w:rsidRPr="00066FD9" w14:paraId="2A9C4E4B" w14:textId="77777777" w:rsidTr="00AA5C6B">
        <w:tblPrEx>
          <w:tblBorders>
            <w:bottom w:val="single" w:sz="6" w:space="0" w:color="auto"/>
          </w:tblBorders>
        </w:tblPrEx>
        <w:trPr>
          <w:jc w:val="center"/>
        </w:trPr>
        <w:tc>
          <w:tcPr>
            <w:tcW w:w="0" w:type="auto"/>
            <w:tcBorders>
              <w:top w:val="nil"/>
              <w:left w:val="nil"/>
              <w:bottom w:val="single" w:sz="6" w:space="0" w:color="auto"/>
              <w:right w:val="nil"/>
            </w:tcBorders>
          </w:tcPr>
          <w:p w14:paraId="69C037DE" w14:textId="77777777" w:rsidR="001A6A23" w:rsidRPr="00066FD9" w:rsidRDefault="001A6A23" w:rsidP="001A6A23">
            <w:pPr>
              <w:widowControl w:val="0"/>
              <w:autoSpaceDE w:val="0"/>
              <w:autoSpaceDN w:val="0"/>
              <w:adjustRightInd w:val="0"/>
              <w:spacing w:before="100" w:beforeAutospacing="1" w:after="100" w:afterAutospacing="1"/>
              <w:contextualSpacing/>
            </w:pPr>
            <w:r w:rsidRPr="00066FD9">
              <w:t>R-squared</w:t>
            </w:r>
          </w:p>
        </w:tc>
        <w:tc>
          <w:tcPr>
            <w:tcW w:w="0" w:type="auto"/>
            <w:tcBorders>
              <w:top w:val="nil"/>
              <w:left w:val="nil"/>
              <w:bottom w:val="single" w:sz="6" w:space="0" w:color="auto"/>
              <w:right w:val="nil"/>
            </w:tcBorders>
          </w:tcPr>
          <w:p w14:paraId="0E2C3510" w14:textId="75C032A4" w:rsidR="001A6A23" w:rsidRDefault="001A6A23" w:rsidP="001A6A23">
            <w:pPr>
              <w:widowControl w:val="0"/>
              <w:autoSpaceDE w:val="0"/>
              <w:autoSpaceDN w:val="0"/>
              <w:adjustRightInd w:val="0"/>
              <w:spacing w:before="100" w:beforeAutospacing="1" w:after="100" w:afterAutospacing="1"/>
              <w:contextualSpacing/>
              <w:jc w:val="center"/>
            </w:pPr>
            <w:r>
              <w:t>0.707</w:t>
            </w:r>
          </w:p>
        </w:tc>
        <w:tc>
          <w:tcPr>
            <w:tcW w:w="0" w:type="auto"/>
            <w:tcBorders>
              <w:top w:val="nil"/>
              <w:left w:val="nil"/>
              <w:bottom w:val="single" w:sz="6" w:space="0" w:color="auto"/>
              <w:right w:val="nil"/>
            </w:tcBorders>
          </w:tcPr>
          <w:p w14:paraId="50FC727D" w14:textId="6963C2E0" w:rsidR="001A6A23" w:rsidRDefault="001A6A23" w:rsidP="001A6A23">
            <w:pPr>
              <w:widowControl w:val="0"/>
              <w:autoSpaceDE w:val="0"/>
              <w:autoSpaceDN w:val="0"/>
              <w:adjustRightInd w:val="0"/>
              <w:spacing w:before="100" w:beforeAutospacing="1" w:after="100" w:afterAutospacing="1"/>
              <w:contextualSpacing/>
              <w:jc w:val="center"/>
            </w:pPr>
            <w:r>
              <w:t>0.743</w:t>
            </w:r>
          </w:p>
        </w:tc>
        <w:tc>
          <w:tcPr>
            <w:tcW w:w="0" w:type="auto"/>
            <w:tcBorders>
              <w:top w:val="nil"/>
              <w:left w:val="nil"/>
              <w:bottom w:val="single" w:sz="6" w:space="0" w:color="auto"/>
              <w:right w:val="nil"/>
            </w:tcBorders>
          </w:tcPr>
          <w:p w14:paraId="7FC110C7" w14:textId="3337EA9C" w:rsidR="001A6A23" w:rsidRDefault="001A6A23" w:rsidP="001A6A23">
            <w:pPr>
              <w:widowControl w:val="0"/>
              <w:autoSpaceDE w:val="0"/>
              <w:autoSpaceDN w:val="0"/>
              <w:adjustRightInd w:val="0"/>
              <w:spacing w:before="100" w:beforeAutospacing="1" w:after="100" w:afterAutospacing="1"/>
              <w:contextualSpacing/>
              <w:jc w:val="center"/>
            </w:pPr>
            <w:r>
              <w:t>0.792</w:t>
            </w:r>
          </w:p>
        </w:tc>
        <w:tc>
          <w:tcPr>
            <w:tcW w:w="0" w:type="auto"/>
            <w:tcBorders>
              <w:top w:val="nil"/>
              <w:left w:val="nil"/>
              <w:bottom w:val="single" w:sz="6" w:space="0" w:color="auto"/>
              <w:right w:val="nil"/>
            </w:tcBorders>
          </w:tcPr>
          <w:p w14:paraId="2CADADA9" w14:textId="03303758" w:rsidR="001A6A23" w:rsidRDefault="001A6A23" w:rsidP="001A6A23">
            <w:pPr>
              <w:widowControl w:val="0"/>
              <w:autoSpaceDE w:val="0"/>
              <w:autoSpaceDN w:val="0"/>
              <w:adjustRightInd w:val="0"/>
              <w:spacing w:before="100" w:beforeAutospacing="1" w:after="100" w:afterAutospacing="1"/>
              <w:contextualSpacing/>
              <w:jc w:val="center"/>
            </w:pPr>
            <w:r>
              <w:t>0.722</w:t>
            </w:r>
          </w:p>
        </w:tc>
        <w:tc>
          <w:tcPr>
            <w:tcW w:w="0" w:type="auto"/>
            <w:tcBorders>
              <w:top w:val="nil"/>
              <w:left w:val="nil"/>
              <w:bottom w:val="single" w:sz="6" w:space="0" w:color="auto"/>
              <w:right w:val="nil"/>
            </w:tcBorders>
          </w:tcPr>
          <w:p w14:paraId="1DEC008B" w14:textId="6BC7E82F" w:rsidR="001A6A23" w:rsidRDefault="001A6A23" w:rsidP="001A6A23">
            <w:pPr>
              <w:widowControl w:val="0"/>
              <w:autoSpaceDE w:val="0"/>
              <w:autoSpaceDN w:val="0"/>
              <w:adjustRightInd w:val="0"/>
              <w:spacing w:before="100" w:beforeAutospacing="1" w:after="100" w:afterAutospacing="1"/>
              <w:contextualSpacing/>
              <w:jc w:val="center"/>
            </w:pPr>
            <w:r>
              <w:t>0.772</w:t>
            </w:r>
          </w:p>
        </w:tc>
        <w:tc>
          <w:tcPr>
            <w:tcW w:w="0" w:type="auto"/>
            <w:tcBorders>
              <w:top w:val="nil"/>
              <w:left w:val="nil"/>
              <w:bottom w:val="single" w:sz="6" w:space="0" w:color="auto"/>
              <w:right w:val="nil"/>
            </w:tcBorders>
          </w:tcPr>
          <w:p w14:paraId="01DD874D" w14:textId="6F233C46" w:rsidR="001A6A23" w:rsidRDefault="001A6A23" w:rsidP="001A6A23">
            <w:pPr>
              <w:widowControl w:val="0"/>
              <w:autoSpaceDE w:val="0"/>
              <w:autoSpaceDN w:val="0"/>
              <w:adjustRightInd w:val="0"/>
              <w:spacing w:before="100" w:beforeAutospacing="1" w:after="100" w:afterAutospacing="1"/>
              <w:contextualSpacing/>
              <w:jc w:val="center"/>
            </w:pPr>
            <w:r>
              <w:t>0.812</w:t>
            </w:r>
          </w:p>
        </w:tc>
      </w:tr>
    </w:tbl>
    <w:p w14:paraId="68A194C2" w14:textId="7DAD230D" w:rsidR="000A4CCE" w:rsidRPr="00BB55D2" w:rsidRDefault="00AA5C6B" w:rsidP="00AA5C6B">
      <w:pPr>
        <w:widowControl w:val="0"/>
        <w:autoSpaceDE w:val="0"/>
        <w:autoSpaceDN w:val="0"/>
        <w:adjustRightInd w:val="0"/>
        <w:spacing w:before="0" w:after="0"/>
        <w:rPr>
          <w:rFonts w:eastAsiaTheme="minorEastAsia"/>
        </w:rPr>
      </w:pPr>
      <w:r>
        <w:t xml:space="preserve">NOTES: The table presents results from six separate regressions of the percent change in counties’ mean housing value by age. </w:t>
      </w:r>
      <w:r w:rsidR="000A4CCE">
        <w:t xml:space="preserve"> Column </w:t>
      </w:r>
      <w:r>
        <w:t>(1) reports results for Equation (</w:t>
      </w:r>
      <w:r w:rsidR="008B4734">
        <w:t>2</w:t>
      </w:r>
      <w:r>
        <w:t xml:space="preserve">). </w:t>
      </w:r>
      <w:r w:rsidR="000A4CCE">
        <w:t xml:space="preserve"> Column </w:t>
      </w:r>
      <w:r>
        <w:t>(2) replaces the county and decade fixed effects in Equation (</w:t>
      </w:r>
      <w:r w:rsidR="008B4734">
        <w:t>2</w:t>
      </w:r>
      <w:r>
        <w:t xml:space="preserve">) with exemption-year and exemption-county interactions. </w:t>
      </w:r>
      <w:r w:rsidR="000A4CCE">
        <w:t xml:space="preserve"> Column </w:t>
      </w:r>
      <w:r>
        <w:t xml:space="preserve">(3) adds county-age, year-urban status, and year-age interactions to the specification in </w:t>
      </w:r>
      <w:r w:rsidR="000A4CCE">
        <w:t>Column </w:t>
      </w:r>
      <w:r>
        <w:t xml:space="preserve">(2). </w:t>
      </w:r>
      <w:r w:rsidR="000A4CCE">
        <w:t xml:space="preserve"> </w:t>
      </w:r>
      <w:r>
        <w:t xml:space="preserve">Panel A uses the </w:t>
      </w:r>
      <w:r>
        <w:rPr>
          <w:rFonts w:eastAsiaTheme="minorEastAsia"/>
        </w:rPr>
        <w:t xml:space="preserve">housing unit weighted average of indicator variables denoting any age-based property tax exemption in the county and covered cities. </w:t>
      </w:r>
      <w:r w:rsidR="000A4CCE">
        <w:rPr>
          <w:rFonts w:eastAsiaTheme="minorEastAsia"/>
        </w:rPr>
        <w:t xml:space="preserve"> </w:t>
      </w:r>
      <w:r>
        <w:rPr>
          <w:rFonts w:eastAsiaTheme="minorEastAsia"/>
        </w:rPr>
        <w:t xml:space="preserve">Panel B uses the inverse ratio of under 65 to over 65 simulated property taxes as the measure of the age-based property tax exemption treatment. </w:t>
      </w:r>
    </w:p>
    <w:p w14:paraId="11D5AA12" w14:textId="77777777" w:rsidR="000A4CCE" w:rsidRDefault="00AA5C6B" w:rsidP="00AA5C6B">
      <w:pPr>
        <w:widowControl w:val="0"/>
        <w:autoSpaceDE w:val="0"/>
        <w:autoSpaceDN w:val="0"/>
        <w:adjustRightInd w:val="0"/>
        <w:spacing w:before="0" w:after="0"/>
        <w:rPr>
          <w:rFonts w:eastAsiaTheme="minorEastAsia"/>
        </w:rPr>
      </w:pPr>
      <w:r>
        <w:rPr>
          <w:rFonts w:eastAsiaTheme="minorEastAsia"/>
        </w:rPr>
        <w:t xml:space="preserve">Robust standard errors clustered at the county level are reported in parentheses. </w:t>
      </w:r>
    </w:p>
    <w:p w14:paraId="49746B5D" w14:textId="4CEA3C9F" w:rsidR="00AA5C6B" w:rsidRDefault="00AA5C6B" w:rsidP="00AA5C6B">
      <w:pPr>
        <w:widowControl w:val="0"/>
        <w:autoSpaceDE w:val="0"/>
        <w:autoSpaceDN w:val="0"/>
        <w:adjustRightInd w:val="0"/>
        <w:spacing w:before="0" w:after="0"/>
      </w:pPr>
      <w:r>
        <w:t>*** p&lt;0.01, ** p&lt;0.05, * p&lt;0.1</w:t>
      </w:r>
    </w:p>
    <w:p w14:paraId="1247B0A5" w14:textId="77777777" w:rsidR="00AA5C6B" w:rsidRDefault="00AA5C6B" w:rsidP="00AA5C6B">
      <w:pPr>
        <w:spacing w:before="0" w:after="0"/>
        <w:contextualSpacing/>
        <w:rPr>
          <w:b/>
        </w:rPr>
      </w:pPr>
    </w:p>
    <w:p w14:paraId="7159BF62" w14:textId="1B0FFA4E" w:rsidR="00E52C98" w:rsidRDefault="00E52C98">
      <w:pPr>
        <w:spacing w:before="0" w:after="160" w:line="259" w:lineRule="auto"/>
        <w:rPr>
          <w:b/>
        </w:rPr>
      </w:pPr>
      <w:r>
        <w:rPr>
          <w:b/>
        </w:rPr>
        <w:br w:type="page"/>
      </w:r>
    </w:p>
    <w:p w14:paraId="4F0244CC" w14:textId="30F2EDE2" w:rsidR="00E52C98" w:rsidRDefault="00E52C98" w:rsidP="00AA5C6B">
      <w:pPr>
        <w:spacing w:before="0" w:after="0"/>
        <w:contextualSpacing/>
        <w:rPr>
          <w:b/>
        </w:rPr>
      </w:pPr>
      <w:r>
        <w:rPr>
          <w:b/>
        </w:rPr>
        <w:lastRenderedPageBreak/>
        <w:t>Table 8</w:t>
      </w:r>
      <w:r w:rsidR="00A0377A">
        <w:rPr>
          <w:b/>
        </w:rPr>
        <w:t>a</w:t>
      </w:r>
      <w:r>
        <w:rPr>
          <w:b/>
        </w:rPr>
        <w:t>.  Sorting Model (Estimated Utility Parameters)</w:t>
      </w:r>
    </w:p>
    <w:p w14:paraId="5D7E1751" w14:textId="77777777" w:rsidR="00E52C98" w:rsidRDefault="00E52C98" w:rsidP="00AA5C6B">
      <w:pPr>
        <w:spacing w:before="0" w:after="0"/>
        <w:contextualSpacing/>
        <w:rPr>
          <w:b/>
        </w:rPr>
      </w:pPr>
    </w:p>
    <w:tbl>
      <w:tblPr>
        <w:tblW w:w="0" w:type="auto"/>
        <w:jc w:val="center"/>
        <w:tblCellMar>
          <w:left w:w="75" w:type="dxa"/>
          <w:right w:w="75" w:type="dxa"/>
        </w:tblCellMar>
        <w:tblLook w:val="0000" w:firstRow="0" w:lastRow="0" w:firstColumn="0" w:lastColumn="0" w:noHBand="0" w:noVBand="0"/>
      </w:tblPr>
      <w:tblGrid>
        <w:gridCol w:w="2503"/>
        <w:gridCol w:w="3023"/>
        <w:gridCol w:w="3017"/>
      </w:tblGrid>
      <w:tr w:rsidR="00E52C98" w:rsidRPr="00066FD9" w14:paraId="5960F2A9" w14:textId="77777777" w:rsidTr="002A2F9B">
        <w:trPr>
          <w:jc w:val="center"/>
        </w:trPr>
        <w:tc>
          <w:tcPr>
            <w:tcW w:w="0" w:type="auto"/>
            <w:tcBorders>
              <w:top w:val="single" w:sz="6" w:space="0" w:color="auto"/>
              <w:left w:val="nil"/>
              <w:bottom w:val="single" w:sz="6" w:space="0" w:color="auto"/>
              <w:right w:val="nil"/>
            </w:tcBorders>
          </w:tcPr>
          <w:p w14:paraId="6B4D0200" w14:textId="77777777" w:rsidR="00E52C98" w:rsidRPr="00066FD9" w:rsidRDefault="00E52C98" w:rsidP="00E52C98">
            <w:pPr>
              <w:widowControl w:val="0"/>
              <w:autoSpaceDE w:val="0"/>
              <w:autoSpaceDN w:val="0"/>
              <w:adjustRightInd w:val="0"/>
              <w:spacing w:before="100" w:beforeAutospacing="1" w:after="100" w:afterAutospacing="1"/>
              <w:contextualSpacing/>
            </w:pPr>
          </w:p>
        </w:tc>
        <w:tc>
          <w:tcPr>
            <w:tcW w:w="0" w:type="auto"/>
            <w:tcBorders>
              <w:top w:val="single" w:sz="6" w:space="0" w:color="auto"/>
              <w:left w:val="nil"/>
              <w:bottom w:val="single" w:sz="6" w:space="0" w:color="auto"/>
              <w:right w:val="nil"/>
            </w:tcBorders>
          </w:tcPr>
          <w:p w14:paraId="04529DF5" w14:textId="77777777" w:rsidR="00E52C98" w:rsidRPr="00066FD9" w:rsidRDefault="00E52C98" w:rsidP="00E52C98">
            <w:pPr>
              <w:widowControl w:val="0"/>
              <w:autoSpaceDE w:val="0"/>
              <w:autoSpaceDN w:val="0"/>
              <w:adjustRightInd w:val="0"/>
              <w:spacing w:before="100" w:beforeAutospacing="1" w:after="100" w:afterAutospacing="1"/>
              <w:contextualSpacing/>
              <w:jc w:val="center"/>
            </w:pPr>
            <w:r>
              <w:t>Panel A: Exemption Indicator</w:t>
            </w:r>
          </w:p>
        </w:tc>
        <w:tc>
          <w:tcPr>
            <w:tcW w:w="0" w:type="auto"/>
            <w:tcBorders>
              <w:top w:val="single" w:sz="6" w:space="0" w:color="auto"/>
              <w:left w:val="nil"/>
              <w:bottom w:val="single" w:sz="6" w:space="0" w:color="auto"/>
              <w:right w:val="nil"/>
            </w:tcBorders>
          </w:tcPr>
          <w:p w14:paraId="70827F77" w14:textId="77777777" w:rsidR="00E52C98" w:rsidRPr="00066FD9" w:rsidRDefault="00E52C98" w:rsidP="00E52C98">
            <w:pPr>
              <w:widowControl w:val="0"/>
              <w:autoSpaceDE w:val="0"/>
              <w:autoSpaceDN w:val="0"/>
              <w:adjustRightInd w:val="0"/>
              <w:spacing w:before="100" w:beforeAutospacing="1" w:after="100" w:afterAutospacing="1"/>
              <w:contextualSpacing/>
              <w:jc w:val="center"/>
            </w:pPr>
            <w:r>
              <w:t>Panel B: Simulated Tax Ratio</w:t>
            </w:r>
          </w:p>
        </w:tc>
      </w:tr>
      <w:tr w:rsidR="00DB58C2" w:rsidRPr="00066FD9" w14:paraId="0DE5F23C" w14:textId="77777777" w:rsidTr="002A2F9B">
        <w:trPr>
          <w:jc w:val="center"/>
        </w:trPr>
        <w:tc>
          <w:tcPr>
            <w:tcW w:w="0" w:type="auto"/>
            <w:tcBorders>
              <w:top w:val="single" w:sz="6" w:space="0" w:color="auto"/>
              <w:left w:val="nil"/>
              <w:right w:val="nil"/>
            </w:tcBorders>
          </w:tcPr>
          <w:p w14:paraId="3255988C" w14:textId="7EE77D97" w:rsidR="00DB58C2" w:rsidRPr="00E74BA3" w:rsidRDefault="00DB58C2" w:rsidP="00DB58C2">
            <w:pPr>
              <w:widowControl w:val="0"/>
              <w:autoSpaceDE w:val="0"/>
              <w:autoSpaceDN w:val="0"/>
              <w:adjustRightInd w:val="0"/>
              <w:spacing w:before="100" w:beforeAutospacing="1" w:after="100" w:afterAutospacing="1"/>
              <w:contextualSpacing/>
            </w:pPr>
            <w:r w:rsidRPr="00E74BA3">
              <w:t>Treat. X Older X Owner</w:t>
            </w:r>
          </w:p>
        </w:tc>
        <w:tc>
          <w:tcPr>
            <w:tcW w:w="0" w:type="auto"/>
            <w:tcBorders>
              <w:top w:val="single" w:sz="6" w:space="0" w:color="auto"/>
              <w:left w:val="nil"/>
              <w:right w:val="nil"/>
            </w:tcBorders>
          </w:tcPr>
          <w:p w14:paraId="18CA0E33" w14:textId="279482D6" w:rsidR="00DB58C2" w:rsidRDefault="00DB58C2" w:rsidP="00DB58C2">
            <w:pPr>
              <w:widowControl w:val="0"/>
              <w:autoSpaceDE w:val="0"/>
              <w:autoSpaceDN w:val="0"/>
              <w:adjustRightInd w:val="0"/>
              <w:spacing w:before="100" w:beforeAutospacing="1" w:after="100" w:afterAutospacing="1"/>
              <w:contextualSpacing/>
              <w:jc w:val="center"/>
            </w:pPr>
            <w:r>
              <w:t>0</w:t>
            </w:r>
            <w:r w:rsidRPr="00E74BA3">
              <w:t>.36894</w:t>
            </w:r>
            <w:r>
              <w:t>***</w:t>
            </w:r>
          </w:p>
        </w:tc>
        <w:tc>
          <w:tcPr>
            <w:tcW w:w="0" w:type="auto"/>
            <w:tcBorders>
              <w:top w:val="single" w:sz="6" w:space="0" w:color="auto"/>
              <w:left w:val="nil"/>
              <w:right w:val="nil"/>
            </w:tcBorders>
          </w:tcPr>
          <w:p w14:paraId="1A8F7E1E" w14:textId="5B3DBF55" w:rsidR="00DB58C2" w:rsidRDefault="00DB58C2" w:rsidP="00DB58C2">
            <w:pPr>
              <w:widowControl w:val="0"/>
              <w:autoSpaceDE w:val="0"/>
              <w:autoSpaceDN w:val="0"/>
              <w:adjustRightInd w:val="0"/>
              <w:spacing w:before="100" w:beforeAutospacing="1" w:after="100" w:afterAutospacing="1"/>
              <w:contextualSpacing/>
              <w:jc w:val="center"/>
            </w:pPr>
            <w:r>
              <w:t>0</w:t>
            </w:r>
            <w:r w:rsidRPr="00E74BA3">
              <w:t>.39650</w:t>
            </w:r>
            <w:r>
              <w:t>***</w:t>
            </w:r>
          </w:p>
        </w:tc>
      </w:tr>
      <w:tr w:rsidR="00DB58C2" w:rsidRPr="00066FD9" w14:paraId="68B4337A" w14:textId="77777777" w:rsidTr="002A2F9B">
        <w:trPr>
          <w:jc w:val="center"/>
        </w:trPr>
        <w:tc>
          <w:tcPr>
            <w:tcW w:w="0" w:type="auto"/>
            <w:tcBorders>
              <w:left w:val="nil"/>
              <w:bottom w:val="single" w:sz="6" w:space="0" w:color="auto"/>
              <w:right w:val="nil"/>
            </w:tcBorders>
          </w:tcPr>
          <w:p w14:paraId="1C7DB8D1" w14:textId="77777777" w:rsidR="00DB58C2" w:rsidRPr="00E74BA3" w:rsidRDefault="00DB58C2" w:rsidP="00DB58C2">
            <w:pPr>
              <w:widowControl w:val="0"/>
              <w:autoSpaceDE w:val="0"/>
              <w:autoSpaceDN w:val="0"/>
              <w:adjustRightInd w:val="0"/>
              <w:spacing w:before="100" w:beforeAutospacing="1" w:after="100" w:afterAutospacing="1"/>
              <w:contextualSpacing/>
            </w:pPr>
          </w:p>
        </w:tc>
        <w:tc>
          <w:tcPr>
            <w:tcW w:w="0" w:type="auto"/>
            <w:tcBorders>
              <w:left w:val="nil"/>
              <w:bottom w:val="single" w:sz="6" w:space="0" w:color="auto"/>
              <w:right w:val="nil"/>
            </w:tcBorders>
          </w:tcPr>
          <w:p w14:paraId="1E27F7A1" w14:textId="56728A45" w:rsidR="00DB58C2" w:rsidRDefault="00DB58C2" w:rsidP="00DB58C2">
            <w:pPr>
              <w:widowControl w:val="0"/>
              <w:autoSpaceDE w:val="0"/>
              <w:autoSpaceDN w:val="0"/>
              <w:adjustRightInd w:val="0"/>
              <w:spacing w:before="100" w:beforeAutospacing="1" w:after="100" w:afterAutospacing="1"/>
              <w:contextualSpacing/>
              <w:jc w:val="center"/>
            </w:pPr>
            <w:r>
              <w:t>(0</w:t>
            </w:r>
            <w:r w:rsidRPr="00E74BA3">
              <w:t>.00536</w:t>
            </w:r>
            <w:r>
              <w:t>)</w:t>
            </w:r>
          </w:p>
        </w:tc>
        <w:tc>
          <w:tcPr>
            <w:tcW w:w="0" w:type="auto"/>
            <w:tcBorders>
              <w:left w:val="nil"/>
              <w:bottom w:val="single" w:sz="6" w:space="0" w:color="auto"/>
              <w:right w:val="nil"/>
            </w:tcBorders>
          </w:tcPr>
          <w:p w14:paraId="7E539CD3" w14:textId="7CF339F5" w:rsidR="00DB58C2" w:rsidRDefault="00DB58C2" w:rsidP="00DB58C2">
            <w:pPr>
              <w:widowControl w:val="0"/>
              <w:autoSpaceDE w:val="0"/>
              <w:autoSpaceDN w:val="0"/>
              <w:adjustRightInd w:val="0"/>
              <w:spacing w:before="100" w:beforeAutospacing="1" w:after="100" w:afterAutospacing="1"/>
              <w:contextualSpacing/>
              <w:jc w:val="center"/>
            </w:pPr>
            <w:r>
              <w:t>(0</w:t>
            </w:r>
            <w:r w:rsidRPr="00E74BA3">
              <w:t>.01009</w:t>
            </w:r>
            <w:r>
              <w:t>)</w:t>
            </w:r>
          </w:p>
        </w:tc>
      </w:tr>
      <w:tr w:rsidR="00E74BA3" w:rsidRPr="00066FD9" w14:paraId="144DE6AB" w14:textId="77777777" w:rsidTr="002A2F9B">
        <w:trPr>
          <w:jc w:val="center"/>
        </w:trPr>
        <w:tc>
          <w:tcPr>
            <w:tcW w:w="0" w:type="auto"/>
            <w:tcBorders>
              <w:top w:val="single" w:sz="6" w:space="0" w:color="auto"/>
              <w:left w:val="nil"/>
              <w:right w:val="nil"/>
            </w:tcBorders>
          </w:tcPr>
          <w:p w14:paraId="65C95D91" w14:textId="0BDFF695" w:rsidR="00E74BA3" w:rsidRPr="00E74BA3" w:rsidRDefault="00E74BA3" w:rsidP="00E74BA3">
            <w:pPr>
              <w:widowControl w:val="0"/>
              <w:autoSpaceDE w:val="0"/>
              <w:autoSpaceDN w:val="0"/>
              <w:adjustRightInd w:val="0"/>
              <w:spacing w:before="100" w:beforeAutospacing="1" w:after="100" w:afterAutospacing="1"/>
              <w:contextualSpacing/>
            </w:pPr>
            <w:r w:rsidRPr="00E74BA3">
              <w:t>Treatment X Older</w:t>
            </w:r>
          </w:p>
        </w:tc>
        <w:tc>
          <w:tcPr>
            <w:tcW w:w="0" w:type="auto"/>
            <w:tcBorders>
              <w:top w:val="single" w:sz="6" w:space="0" w:color="auto"/>
              <w:left w:val="nil"/>
              <w:right w:val="nil"/>
            </w:tcBorders>
          </w:tcPr>
          <w:p w14:paraId="7917624F" w14:textId="4DD0AECF" w:rsidR="00E74BA3" w:rsidRDefault="00E74BA3" w:rsidP="00E74BA3">
            <w:pPr>
              <w:widowControl w:val="0"/>
              <w:autoSpaceDE w:val="0"/>
              <w:autoSpaceDN w:val="0"/>
              <w:adjustRightInd w:val="0"/>
              <w:spacing w:before="100" w:beforeAutospacing="1" w:after="100" w:afterAutospacing="1"/>
              <w:contextualSpacing/>
              <w:jc w:val="center"/>
            </w:pPr>
            <w:r w:rsidRPr="00E74BA3">
              <w:t>-</w:t>
            </w:r>
            <w:r>
              <w:t>0</w:t>
            </w:r>
            <w:r w:rsidRPr="00E74BA3">
              <w:t>.70251</w:t>
            </w:r>
            <w:r>
              <w:t>***</w:t>
            </w:r>
          </w:p>
        </w:tc>
        <w:tc>
          <w:tcPr>
            <w:tcW w:w="0" w:type="auto"/>
            <w:tcBorders>
              <w:top w:val="single" w:sz="6" w:space="0" w:color="auto"/>
              <w:left w:val="nil"/>
              <w:right w:val="nil"/>
            </w:tcBorders>
          </w:tcPr>
          <w:p w14:paraId="11235A5A" w14:textId="06BEB0F5" w:rsidR="00E74BA3" w:rsidRDefault="00DB58C2" w:rsidP="00E74BA3">
            <w:pPr>
              <w:widowControl w:val="0"/>
              <w:autoSpaceDE w:val="0"/>
              <w:autoSpaceDN w:val="0"/>
              <w:adjustRightInd w:val="0"/>
              <w:spacing w:before="100" w:beforeAutospacing="1" w:after="100" w:afterAutospacing="1"/>
              <w:contextualSpacing/>
              <w:jc w:val="center"/>
            </w:pPr>
            <w:r w:rsidRPr="00DB58C2">
              <w:t>1.09914</w:t>
            </w:r>
            <w:r>
              <w:t>***</w:t>
            </w:r>
          </w:p>
        </w:tc>
      </w:tr>
      <w:tr w:rsidR="00E74BA3" w:rsidRPr="00066FD9" w14:paraId="46CBD667" w14:textId="77777777" w:rsidTr="002A2F9B">
        <w:trPr>
          <w:jc w:val="center"/>
        </w:trPr>
        <w:tc>
          <w:tcPr>
            <w:tcW w:w="0" w:type="auto"/>
            <w:tcBorders>
              <w:left w:val="nil"/>
              <w:bottom w:val="single" w:sz="6" w:space="0" w:color="auto"/>
              <w:right w:val="nil"/>
            </w:tcBorders>
          </w:tcPr>
          <w:p w14:paraId="131C22C3" w14:textId="77777777" w:rsidR="00E74BA3" w:rsidRPr="00E74BA3" w:rsidRDefault="00E74BA3" w:rsidP="00E74BA3">
            <w:pPr>
              <w:widowControl w:val="0"/>
              <w:autoSpaceDE w:val="0"/>
              <w:autoSpaceDN w:val="0"/>
              <w:adjustRightInd w:val="0"/>
              <w:spacing w:before="100" w:beforeAutospacing="1" w:after="100" w:afterAutospacing="1"/>
              <w:contextualSpacing/>
            </w:pPr>
          </w:p>
        </w:tc>
        <w:tc>
          <w:tcPr>
            <w:tcW w:w="0" w:type="auto"/>
            <w:tcBorders>
              <w:left w:val="nil"/>
              <w:bottom w:val="single" w:sz="6" w:space="0" w:color="auto"/>
              <w:right w:val="nil"/>
            </w:tcBorders>
          </w:tcPr>
          <w:p w14:paraId="396E5620" w14:textId="795E3E2F" w:rsidR="00E74BA3" w:rsidRDefault="00E74BA3" w:rsidP="00E74BA3">
            <w:pPr>
              <w:widowControl w:val="0"/>
              <w:autoSpaceDE w:val="0"/>
              <w:autoSpaceDN w:val="0"/>
              <w:adjustRightInd w:val="0"/>
              <w:spacing w:before="100" w:beforeAutospacing="1" w:after="100" w:afterAutospacing="1"/>
              <w:contextualSpacing/>
              <w:jc w:val="center"/>
            </w:pPr>
            <w:r>
              <w:t>(0</w:t>
            </w:r>
            <w:r w:rsidRPr="00E74BA3">
              <w:t>.0050</w:t>
            </w:r>
            <w:r>
              <w:t>1)</w:t>
            </w:r>
          </w:p>
        </w:tc>
        <w:tc>
          <w:tcPr>
            <w:tcW w:w="0" w:type="auto"/>
            <w:tcBorders>
              <w:left w:val="nil"/>
              <w:bottom w:val="single" w:sz="6" w:space="0" w:color="auto"/>
              <w:right w:val="nil"/>
            </w:tcBorders>
          </w:tcPr>
          <w:p w14:paraId="58EAE7CF" w14:textId="47B29B36" w:rsidR="00E74BA3" w:rsidRDefault="00E74BA3" w:rsidP="00DB58C2">
            <w:pPr>
              <w:widowControl w:val="0"/>
              <w:autoSpaceDE w:val="0"/>
              <w:autoSpaceDN w:val="0"/>
              <w:adjustRightInd w:val="0"/>
              <w:spacing w:before="100" w:beforeAutospacing="1" w:after="100" w:afterAutospacing="1"/>
              <w:contextualSpacing/>
              <w:jc w:val="center"/>
            </w:pPr>
            <w:r>
              <w:t>(</w:t>
            </w:r>
            <w:r w:rsidR="00DB58C2">
              <w:t>0.</w:t>
            </w:r>
            <w:r w:rsidR="00DB58C2" w:rsidRPr="00DB58C2">
              <w:t>0093</w:t>
            </w:r>
            <w:r w:rsidR="00DB58C2">
              <w:t>9</w:t>
            </w:r>
            <w:r>
              <w:t>)</w:t>
            </w:r>
          </w:p>
        </w:tc>
      </w:tr>
      <w:tr w:rsidR="00E74BA3" w:rsidRPr="00066FD9" w14:paraId="0C1B4A8B" w14:textId="77777777" w:rsidTr="002A2F9B">
        <w:trPr>
          <w:jc w:val="center"/>
        </w:trPr>
        <w:tc>
          <w:tcPr>
            <w:tcW w:w="0" w:type="auto"/>
            <w:tcBorders>
              <w:top w:val="single" w:sz="6" w:space="0" w:color="auto"/>
              <w:left w:val="nil"/>
              <w:right w:val="nil"/>
            </w:tcBorders>
          </w:tcPr>
          <w:p w14:paraId="66E916BE" w14:textId="198DD0BB" w:rsidR="00E74BA3" w:rsidRPr="00E74BA3" w:rsidRDefault="006E7F74" w:rsidP="00E74BA3">
            <w:pPr>
              <w:widowControl w:val="0"/>
              <w:autoSpaceDE w:val="0"/>
              <w:autoSpaceDN w:val="0"/>
              <w:adjustRightInd w:val="0"/>
              <w:spacing w:before="100" w:beforeAutospacing="1" w:after="100" w:afterAutospacing="1"/>
              <w:contextualSpacing/>
            </w:pPr>
            <w:r>
              <w:t xml:space="preserve">Treatment </w:t>
            </w:r>
            <w:r w:rsidR="00E74BA3" w:rsidRPr="00E74BA3">
              <w:t>X Owner</w:t>
            </w:r>
          </w:p>
        </w:tc>
        <w:tc>
          <w:tcPr>
            <w:tcW w:w="0" w:type="auto"/>
            <w:tcBorders>
              <w:top w:val="single" w:sz="6" w:space="0" w:color="auto"/>
              <w:left w:val="nil"/>
              <w:right w:val="nil"/>
            </w:tcBorders>
          </w:tcPr>
          <w:p w14:paraId="171A77D4" w14:textId="08FA62D2" w:rsidR="00E74BA3" w:rsidRDefault="00E74BA3" w:rsidP="00E74BA3">
            <w:pPr>
              <w:widowControl w:val="0"/>
              <w:autoSpaceDE w:val="0"/>
              <w:autoSpaceDN w:val="0"/>
              <w:adjustRightInd w:val="0"/>
              <w:spacing w:before="100" w:beforeAutospacing="1" w:after="100" w:afterAutospacing="1"/>
              <w:contextualSpacing/>
              <w:jc w:val="center"/>
            </w:pPr>
            <w:r>
              <w:t>0</w:t>
            </w:r>
            <w:r w:rsidRPr="00E74BA3">
              <w:t>.05506</w:t>
            </w:r>
            <w:r>
              <w:t>***</w:t>
            </w:r>
          </w:p>
        </w:tc>
        <w:tc>
          <w:tcPr>
            <w:tcW w:w="0" w:type="auto"/>
            <w:tcBorders>
              <w:top w:val="single" w:sz="6" w:space="0" w:color="auto"/>
              <w:left w:val="nil"/>
              <w:right w:val="nil"/>
            </w:tcBorders>
          </w:tcPr>
          <w:p w14:paraId="6D73BCB5" w14:textId="29F9343F" w:rsidR="00E74BA3" w:rsidRDefault="00DB58C2" w:rsidP="00E74BA3">
            <w:pPr>
              <w:widowControl w:val="0"/>
              <w:autoSpaceDE w:val="0"/>
              <w:autoSpaceDN w:val="0"/>
              <w:adjustRightInd w:val="0"/>
              <w:spacing w:before="100" w:beforeAutospacing="1" w:after="100" w:afterAutospacing="1"/>
              <w:contextualSpacing/>
              <w:jc w:val="center"/>
            </w:pPr>
            <w:r>
              <w:t>0.47968***</w:t>
            </w:r>
          </w:p>
        </w:tc>
      </w:tr>
      <w:tr w:rsidR="00E74BA3" w:rsidRPr="00066FD9" w14:paraId="3BC8FFD3" w14:textId="77777777" w:rsidTr="002A2F9B">
        <w:trPr>
          <w:jc w:val="center"/>
        </w:trPr>
        <w:tc>
          <w:tcPr>
            <w:tcW w:w="0" w:type="auto"/>
            <w:tcBorders>
              <w:left w:val="nil"/>
              <w:bottom w:val="single" w:sz="6" w:space="0" w:color="auto"/>
              <w:right w:val="nil"/>
            </w:tcBorders>
          </w:tcPr>
          <w:p w14:paraId="735C1E58" w14:textId="77777777" w:rsidR="00E74BA3" w:rsidRPr="00E74BA3" w:rsidRDefault="00E74BA3" w:rsidP="00E74BA3">
            <w:pPr>
              <w:widowControl w:val="0"/>
              <w:autoSpaceDE w:val="0"/>
              <w:autoSpaceDN w:val="0"/>
              <w:adjustRightInd w:val="0"/>
              <w:spacing w:before="100" w:beforeAutospacing="1" w:after="100" w:afterAutospacing="1"/>
              <w:contextualSpacing/>
            </w:pPr>
          </w:p>
        </w:tc>
        <w:tc>
          <w:tcPr>
            <w:tcW w:w="0" w:type="auto"/>
            <w:tcBorders>
              <w:left w:val="nil"/>
              <w:bottom w:val="single" w:sz="6" w:space="0" w:color="auto"/>
              <w:right w:val="nil"/>
            </w:tcBorders>
          </w:tcPr>
          <w:p w14:paraId="300519EB" w14:textId="0E1B5B48" w:rsidR="00E74BA3" w:rsidRDefault="00E74BA3" w:rsidP="00E74BA3">
            <w:pPr>
              <w:widowControl w:val="0"/>
              <w:autoSpaceDE w:val="0"/>
              <w:autoSpaceDN w:val="0"/>
              <w:adjustRightInd w:val="0"/>
              <w:spacing w:before="100" w:beforeAutospacing="1" w:after="100" w:afterAutospacing="1"/>
              <w:contextualSpacing/>
              <w:jc w:val="center"/>
            </w:pPr>
            <w:r>
              <w:t>(0</w:t>
            </w:r>
            <w:r w:rsidRPr="00E74BA3">
              <w:t>.0022</w:t>
            </w:r>
            <w:r>
              <w:t>4)</w:t>
            </w:r>
          </w:p>
        </w:tc>
        <w:tc>
          <w:tcPr>
            <w:tcW w:w="0" w:type="auto"/>
            <w:tcBorders>
              <w:left w:val="nil"/>
              <w:bottom w:val="single" w:sz="6" w:space="0" w:color="auto"/>
              <w:right w:val="nil"/>
            </w:tcBorders>
          </w:tcPr>
          <w:p w14:paraId="4EC02144" w14:textId="4C18E9E4" w:rsidR="00E74BA3" w:rsidRDefault="00E74BA3" w:rsidP="00DB58C2">
            <w:pPr>
              <w:widowControl w:val="0"/>
              <w:autoSpaceDE w:val="0"/>
              <w:autoSpaceDN w:val="0"/>
              <w:adjustRightInd w:val="0"/>
              <w:spacing w:before="100" w:beforeAutospacing="1" w:after="100" w:afterAutospacing="1"/>
              <w:contextualSpacing/>
              <w:jc w:val="center"/>
            </w:pPr>
            <w:r>
              <w:t>(</w:t>
            </w:r>
            <w:r w:rsidR="00DB58C2">
              <w:t>0.</w:t>
            </w:r>
            <w:r w:rsidR="00DB58C2" w:rsidRPr="00DB58C2">
              <w:t>00389</w:t>
            </w:r>
            <w:r>
              <w:t>)</w:t>
            </w:r>
          </w:p>
        </w:tc>
      </w:tr>
      <w:tr w:rsidR="00E74BA3" w:rsidRPr="00066FD9" w14:paraId="1FF31DBB" w14:textId="77777777" w:rsidTr="002A2F9B">
        <w:trPr>
          <w:jc w:val="center"/>
        </w:trPr>
        <w:tc>
          <w:tcPr>
            <w:tcW w:w="0" w:type="auto"/>
            <w:tcBorders>
              <w:top w:val="single" w:sz="6" w:space="0" w:color="auto"/>
              <w:left w:val="nil"/>
              <w:right w:val="nil"/>
            </w:tcBorders>
          </w:tcPr>
          <w:p w14:paraId="65A5BD2B" w14:textId="0E30CF5C" w:rsidR="00E74BA3" w:rsidRPr="00E74BA3" w:rsidRDefault="00E74BA3" w:rsidP="00E74BA3">
            <w:pPr>
              <w:widowControl w:val="0"/>
              <w:autoSpaceDE w:val="0"/>
              <w:autoSpaceDN w:val="0"/>
              <w:adjustRightInd w:val="0"/>
              <w:spacing w:before="100" w:beforeAutospacing="1" w:after="100" w:afterAutospacing="1"/>
              <w:contextualSpacing/>
            </w:pPr>
            <w:r w:rsidRPr="00E74BA3">
              <w:t>Treatment</w:t>
            </w:r>
          </w:p>
        </w:tc>
        <w:tc>
          <w:tcPr>
            <w:tcW w:w="0" w:type="auto"/>
            <w:tcBorders>
              <w:top w:val="single" w:sz="6" w:space="0" w:color="auto"/>
              <w:left w:val="nil"/>
              <w:right w:val="nil"/>
            </w:tcBorders>
          </w:tcPr>
          <w:p w14:paraId="22571954" w14:textId="1CD332C6" w:rsidR="00E74BA3" w:rsidRDefault="00E74BA3" w:rsidP="00E74BA3">
            <w:pPr>
              <w:widowControl w:val="0"/>
              <w:autoSpaceDE w:val="0"/>
              <w:autoSpaceDN w:val="0"/>
              <w:adjustRightInd w:val="0"/>
              <w:spacing w:before="100" w:beforeAutospacing="1" w:after="100" w:afterAutospacing="1"/>
              <w:contextualSpacing/>
              <w:jc w:val="center"/>
            </w:pPr>
            <w:r>
              <w:t>0</w:t>
            </w:r>
            <w:r w:rsidRPr="00E74BA3">
              <w:t>.40400</w:t>
            </w:r>
            <w:r>
              <w:t>***</w:t>
            </w:r>
          </w:p>
        </w:tc>
        <w:tc>
          <w:tcPr>
            <w:tcW w:w="0" w:type="auto"/>
            <w:tcBorders>
              <w:top w:val="single" w:sz="6" w:space="0" w:color="auto"/>
              <w:left w:val="nil"/>
              <w:right w:val="nil"/>
            </w:tcBorders>
          </w:tcPr>
          <w:p w14:paraId="027364EA" w14:textId="6B09F9BF" w:rsidR="00E74BA3" w:rsidRDefault="00DB58C2" w:rsidP="00DB58C2">
            <w:pPr>
              <w:widowControl w:val="0"/>
              <w:autoSpaceDE w:val="0"/>
              <w:autoSpaceDN w:val="0"/>
              <w:adjustRightInd w:val="0"/>
              <w:spacing w:before="100" w:beforeAutospacing="1" w:after="100" w:afterAutospacing="1"/>
              <w:contextualSpacing/>
              <w:jc w:val="center"/>
            </w:pPr>
            <w:r>
              <w:t>0</w:t>
            </w:r>
            <w:r w:rsidRPr="00DB58C2">
              <w:t>.4311</w:t>
            </w:r>
            <w:r>
              <w:t>6***</w:t>
            </w:r>
          </w:p>
        </w:tc>
      </w:tr>
      <w:tr w:rsidR="00E74BA3" w:rsidRPr="00066FD9" w14:paraId="705B03EF" w14:textId="77777777" w:rsidTr="002A2F9B">
        <w:trPr>
          <w:jc w:val="center"/>
        </w:trPr>
        <w:tc>
          <w:tcPr>
            <w:tcW w:w="0" w:type="auto"/>
            <w:tcBorders>
              <w:left w:val="nil"/>
              <w:bottom w:val="single" w:sz="6" w:space="0" w:color="auto"/>
              <w:right w:val="nil"/>
            </w:tcBorders>
          </w:tcPr>
          <w:p w14:paraId="00911033" w14:textId="77777777" w:rsidR="00E74BA3" w:rsidRPr="00E74BA3" w:rsidRDefault="00E74BA3" w:rsidP="00E74BA3">
            <w:pPr>
              <w:widowControl w:val="0"/>
              <w:autoSpaceDE w:val="0"/>
              <w:autoSpaceDN w:val="0"/>
              <w:adjustRightInd w:val="0"/>
              <w:spacing w:before="100" w:beforeAutospacing="1" w:after="100" w:afterAutospacing="1"/>
              <w:contextualSpacing/>
            </w:pPr>
          </w:p>
        </w:tc>
        <w:tc>
          <w:tcPr>
            <w:tcW w:w="0" w:type="auto"/>
            <w:tcBorders>
              <w:left w:val="nil"/>
              <w:bottom w:val="single" w:sz="6" w:space="0" w:color="auto"/>
              <w:right w:val="nil"/>
            </w:tcBorders>
          </w:tcPr>
          <w:p w14:paraId="58272980" w14:textId="1F0F4FB0" w:rsidR="00E74BA3" w:rsidRDefault="00E74BA3" w:rsidP="00E74BA3">
            <w:pPr>
              <w:widowControl w:val="0"/>
              <w:autoSpaceDE w:val="0"/>
              <w:autoSpaceDN w:val="0"/>
              <w:adjustRightInd w:val="0"/>
              <w:spacing w:before="100" w:beforeAutospacing="1" w:after="100" w:afterAutospacing="1"/>
              <w:contextualSpacing/>
              <w:jc w:val="center"/>
            </w:pPr>
            <w:r>
              <w:t>(0</w:t>
            </w:r>
            <w:r w:rsidRPr="00E74BA3">
              <w:t>.00225</w:t>
            </w:r>
            <w:r>
              <w:t>)</w:t>
            </w:r>
          </w:p>
        </w:tc>
        <w:tc>
          <w:tcPr>
            <w:tcW w:w="0" w:type="auto"/>
            <w:tcBorders>
              <w:left w:val="nil"/>
              <w:bottom w:val="single" w:sz="6" w:space="0" w:color="auto"/>
              <w:right w:val="nil"/>
            </w:tcBorders>
          </w:tcPr>
          <w:p w14:paraId="716FFD72" w14:textId="29EFAE99" w:rsidR="00E74BA3" w:rsidRDefault="00DB58C2" w:rsidP="00E74BA3">
            <w:pPr>
              <w:widowControl w:val="0"/>
              <w:autoSpaceDE w:val="0"/>
              <w:autoSpaceDN w:val="0"/>
              <w:adjustRightInd w:val="0"/>
              <w:spacing w:before="100" w:beforeAutospacing="1" w:after="100" w:afterAutospacing="1"/>
              <w:contextualSpacing/>
              <w:jc w:val="center"/>
            </w:pPr>
            <w:r>
              <w:t>(0</w:t>
            </w:r>
            <w:r w:rsidRPr="00DB58C2">
              <w:t>.00396</w:t>
            </w:r>
            <w:r>
              <w:t>)</w:t>
            </w:r>
          </w:p>
        </w:tc>
      </w:tr>
    </w:tbl>
    <w:p w14:paraId="54712F4F" w14:textId="77777777" w:rsidR="00E52C98" w:rsidRDefault="00E52C98" w:rsidP="00AA5C6B">
      <w:pPr>
        <w:spacing w:before="0" w:after="0"/>
        <w:contextualSpacing/>
        <w:rPr>
          <w:b/>
        </w:rPr>
      </w:pPr>
    </w:p>
    <w:p w14:paraId="12DA665C" w14:textId="43A18074" w:rsidR="00A0377A" w:rsidRDefault="00A0377A" w:rsidP="00A0377A">
      <w:pPr>
        <w:spacing w:before="0" w:after="0"/>
        <w:contextualSpacing/>
        <w:rPr>
          <w:b/>
        </w:rPr>
      </w:pPr>
      <w:r>
        <w:rPr>
          <w:b/>
        </w:rPr>
        <w:t>Table 8b.  Simulated Population Changes for Cobb County, from Sorting Model</w:t>
      </w:r>
    </w:p>
    <w:p w14:paraId="0CD65EC2" w14:textId="77777777" w:rsidR="00A0377A" w:rsidRDefault="00A0377A" w:rsidP="00A0377A">
      <w:pPr>
        <w:spacing w:before="0" w:after="0"/>
        <w:contextualSpacing/>
        <w:rPr>
          <w:b/>
        </w:rPr>
      </w:pPr>
    </w:p>
    <w:tbl>
      <w:tblPr>
        <w:tblW w:w="5000" w:type="pct"/>
        <w:jc w:val="center"/>
        <w:tblCellMar>
          <w:left w:w="75" w:type="dxa"/>
          <w:right w:w="75" w:type="dxa"/>
        </w:tblCellMar>
        <w:tblLook w:val="0000" w:firstRow="0" w:lastRow="0" w:firstColumn="0" w:lastColumn="0" w:noHBand="0" w:noVBand="0"/>
      </w:tblPr>
      <w:tblGrid>
        <w:gridCol w:w="2702"/>
        <w:gridCol w:w="1665"/>
        <w:gridCol w:w="1665"/>
        <w:gridCol w:w="1664"/>
        <w:gridCol w:w="1664"/>
      </w:tblGrid>
      <w:tr w:rsidR="006E7F74" w:rsidRPr="00066FD9" w14:paraId="38A85A2B" w14:textId="643CB918" w:rsidTr="00C974ED">
        <w:trPr>
          <w:jc w:val="center"/>
        </w:trPr>
        <w:tc>
          <w:tcPr>
            <w:tcW w:w="1442" w:type="pct"/>
            <w:tcBorders>
              <w:top w:val="single" w:sz="6" w:space="0" w:color="auto"/>
              <w:left w:val="nil"/>
              <w:bottom w:val="single" w:sz="6" w:space="0" w:color="auto"/>
              <w:right w:val="nil"/>
            </w:tcBorders>
          </w:tcPr>
          <w:p w14:paraId="16FDE12A" w14:textId="77777777" w:rsidR="009C5223" w:rsidRPr="00066FD9" w:rsidRDefault="009C5223" w:rsidP="00291377">
            <w:pPr>
              <w:widowControl w:val="0"/>
              <w:autoSpaceDE w:val="0"/>
              <w:autoSpaceDN w:val="0"/>
              <w:adjustRightInd w:val="0"/>
              <w:spacing w:before="100" w:beforeAutospacing="1" w:after="100" w:afterAutospacing="1"/>
              <w:contextualSpacing/>
            </w:pPr>
          </w:p>
        </w:tc>
        <w:tc>
          <w:tcPr>
            <w:tcW w:w="889" w:type="pct"/>
            <w:tcBorders>
              <w:top w:val="single" w:sz="6" w:space="0" w:color="auto"/>
              <w:left w:val="nil"/>
              <w:bottom w:val="single" w:sz="6" w:space="0" w:color="auto"/>
              <w:right w:val="nil"/>
            </w:tcBorders>
          </w:tcPr>
          <w:p w14:paraId="0926239F" w14:textId="77777777" w:rsidR="009C5223" w:rsidRDefault="009C5223" w:rsidP="00291377">
            <w:pPr>
              <w:widowControl w:val="0"/>
              <w:autoSpaceDE w:val="0"/>
              <w:autoSpaceDN w:val="0"/>
              <w:adjustRightInd w:val="0"/>
              <w:spacing w:before="100" w:beforeAutospacing="1" w:after="100" w:afterAutospacing="1"/>
              <w:ind w:left="-107" w:right="-51"/>
              <w:contextualSpacing/>
              <w:jc w:val="center"/>
            </w:pPr>
            <w:r>
              <w:t>Model A:</w:t>
            </w:r>
          </w:p>
          <w:p w14:paraId="24B3D3F0" w14:textId="72813B57" w:rsidR="009C5223" w:rsidRPr="00066FD9" w:rsidRDefault="009C5223" w:rsidP="00291377">
            <w:pPr>
              <w:widowControl w:val="0"/>
              <w:autoSpaceDE w:val="0"/>
              <w:autoSpaceDN w:val="0"/>
              <w:adjustRightInd w:val="0"/>
              <w:spacing w:before="100" w:beforeAutospacing="1" w:after="100" w:afterAutospacing="1"/>
              <w:ind w:left="-107" w:right="-51"/>
              <w:contextualSpacing/>
              <w:jc w:val="center"/>
            </w:pPr>
            <w:r>
              <w:t>Perfect</w:t>
            </w:r>
            <w:r w:rsidR="00073E21">
              <w:t>ly</w:t>
            </w:r>
            <w:r>
              <w:t xml:space="preserve"> </w:t>
            </w:r>
            <w:r w:rsidR="00073E21">
              <w:br/>
            </w:r>
            <w:r>
              <w:t>Inelastic Supply</w:t>
            </w:r>
          </w:p>
        </w:tc>
        <w:tc>
          <w:tcPr>
            <w:tcW w:w="889" w:type="pct"/>
            <w:tcBorders>
              <w:top w:val="single" w:sz="6" w:space="0" w:color="auto"/>
              <w:left w:val="nil"/>
              <w:bottom w:val="single" w:sz="6" w:space="0" w:color="auto"/>
              <w:right w:val="nil"/>
            </w:tcBorders>
          </w:tcPr>
          <w:p w14:paraId="413D9628" w14:textId="77777777" w:rsidR="009C5223" w:rsidRDefault="009C5223" w:rsidP="009C5223">
            <w:pPr>
              <w:widowControl w:val="0"/>
              <w:autoSpaceDE w:val="0"/>
              <w:autoSpaceDN w:val="0"/>
              <w:adjustRightInd w:val="0"/>
              <w:spacing w:before="100" w:beforeAutospacing="1" w:after="100" w:afterAutospacing="1"/>
              <w:contextualSpacing/>
              <w:jc w:val="center"/>
            </w:pPr>
            <w:r>
              <w:t>Model A:</w:t>
            </w:r>
          </w:p>
          <w:p w14:paraId="21D66333" w14:textId="0147765F" w:rsidR="009C5223" w:rsidRPr="00066FD9" w:rsidRDefault="009C5223" w:rsidP="00073E21">
            <w:pPr>
              <w:widowControl w:val="0"/>
              <w:autoSpaceDE w:val="0"/>
              <w:autoSpaceDN w:val="0"/>
              <w:adjustRightInd w:val="0"/>
              <w:spacing w:before="100" w:beforeAutospacing="1" w:after="100" w:afterAutospacing="1"/>
              <w:contextualSpacing/>
              <w:jc w:val="center"/>
            </w:pPr>
            <w:r>
              <w:t>Perfect</w:t>
            </w:r>
            <w:r w:rsidR="00073E21">
              <w:t>ly</w:t>
            </w:r>
            <w:r>
              <w:t xml:space="preserve"> </w:t>
            </w:r>
            <w:r w:rsidR="00073E21">
              <w:br/>
            </w:r>
            <w:r>
              <w:t>Elastic Supply</w:t>
            </w:r>
          </w:p>
        </w:tc>
        <w:tc>
          <w:tcPr>
            <w:tcW w:w="889" w:type="pct"/>
            <w:tcBorders>
              <w:top w:val="single" w:sz="6" w:space="0" w:color="auto"/>
              <w:left w:val="nil"/>
              <w:bottom w:val="single" w:sz="6" w:space="0" w:color="auto"/>
              <w:right w:val="nil"/>
            </w:tcBorders>
          </w:tcPr>
          <w:p w14:paraId="5E01F9D0" w14:textId="12BA36B4" w:rsidR="009C5223" w:rsidRDefault="009C5223" w:rsidP="00291377">
            <w:pPr>
              <w:widowControl w:val="0"/>
              <w:autoSpaceDE w:val="0"/>
              <w:autoSpaceDN w:val="0"/>
              <w:adjustRightInd w:val="0"/>
              <w:spacing w:before="100" w:beforeAutospacing="1" w:after="100" w:afterAutospacing="1"/>
              <w:ind w:right="-51"/>
              <w:contextualSpacing/>
              <w:jc w:val="center"/>
            </w:pPr>
            <w:r>
              <w:t>Model B:</w:t>
            </w:r>
          </w:p>
          <w:p w14:paraId="46DF105C" w14:textId="419B00FA" w:rsidR="009C5223" w:rsidRDefault="009C5223" w:rsidP="00291377">
            <w:pPr>
              <w:widowControl w:val="0"/>
              <w:autoSpaceDE w:val="0"/>
              <w:autoSpaceDN w:val="0"/>
              <w:adjustRightInd w:val="0"/>
              <w:spacing w:before="100" w:beforeAutospacing="1" w:after="100" w:afterAutospacing="1"/>
              <w:ind w:right="-51"/>
              <w:contextualSpacing/>
              <w:jc w:val="center"/>
            </w:pPr>
            <w:r>
              <w:t>Perfect</w:t>
            </w:r>
            <w:r w:rsidR="00073E21">
              <w:t>ly</w:t>
            </w:r>
            <w:r>
              <w:t xml:space="preserve"> </w:t>
            </w:r>
            <w:r w:rsidR="00073E21">
              <w:br/>
            </w:r>
            <w:r>
              <w:t>Inelastic Supply</w:t>
            </w:r>
          </w:p>
        </w:tc>
        <w:tc>
          <w:tcPr>
            <w:tcW w:w="889" w:type="pct"/>
            <w:tcBorders>
              <w:top w:val="single" w:sz="6" w:space="0" w:color="auto"/>
              <w:left w:val="nil"/>
              <w:bottom w:val="single" w:sz="6" w:space="0" w:color="auto"/>
              <w:right w:val="nil"/>
            </w:tcBorders>
          </w:tcPr>
          <w:p w14:paraId="0FCC00FD" w14:textId="5648A044" w:rsidR="009C5223" w:rsidRDefault="009C5223" w:rsidP="009C5223">
            <w:pPr>
              <w:widowControl w:val="0"/>
              <w:autoSpaceDE w:val="0"/>
              <w:autoSpaceDN w:val="0"/>
              <w:adjustRightInd w:val="0"/>
              <w:spacing w:before="100" w:beforeAutospacing="1" w:after="100" w:afterAutospacing="1"/>
              <w:contextualSpacing/>
              <w:jc w:val="center"/>
            </w:pPr>
            <w:r>
              <w:t>Model B:</w:t>
            </w:r>
          </w:p>
          <w:p w14:paraId="0895B739" w14:textId="2D94D423" w:rsidR="009C5223" w:rsidRDefault="009C5223" w:rsidP="00073E21">
            <w:pPr>
              <w:widowControl w:val="0"/>
              <w:autoSpaceDE w:val="0"/>
              <w:autoSpaceDN w:val="0"/>
              <w:adjustRightInd w:val="0"/>
              <w:spacing w:before="100" w:beforeAutospacing="1" w:after="100" w:afterAutospacing="1"/>
              <w:contextualSpacing/>
              <w:jc w:val="center"/>
            </w:pPr>
            <w:r>
              <w:t>Perfect</w:t>
            </w:r>
            <w:r w:rsidR="00073E21">
              <w:t>ly</w:t>
            </w:r>
            <w:r>
              <w:t xml:space="preserve"> </w:t>
            </w:r>
            <w:r w:rsidR="00073E21">
              <w:br/>
            </w:r>
            <w:r>
              <w:t>Elastic Supply</w:t>
            </w:r>
          </w:p>
        </w:tc>
      </w:tr>
      <w:tr w:rsidR="00A0377A" w:rsidRPr="00066FD9" w14:paraId="6DC38F7E" w14:textId="72A2AF97" w:rsidTr="00C974ED">
        <w:trPr>
          <w:jc w:val="center"/>
        </w:trPr>
        <w:tc>
          <w:tcPr>
            <w:tcW w:w="1442" w:type="pct"/>
            <w:tcBorders>
              <w:top w:val="single" w:sz="6" w:space="0" w:color="auto"/>
              <w:left w:val="nil"/>
              <w:right w:val="nil"/>
            </w:tcBorders>
          </w:tcPr>
          <w:p w14:paraId="2D97F7C4" w14:textId="2B39BEDE" w:rsidR="00A0377A" w:rsidRPr="00E74BA3" w:rsidRDefault="006E7F74" w:rsidP="008B4734">
            <w:pPr>
              <w:widowControl w:val="0"/>
              <w:autoSpaceDE w:val="0"/>
              <w:autoSpaceDN w:val="0"/>
              <w:adjustRightInd w:val="0"/>
              <w:spacing w:before="100" w:beforeAutospacing="1" w:after="100" w:afterAutospacing="1"/>
              <w:contextualSpacing/>
            </w:pPr>
            <w:r>
              <w:t xml:space="preserve">Change </w:t>
            </w:r>
            <w:r w:rsidR="009C5223">
              <w:t>Older Owners</w:t>
            </w:r>
          </w:p>
        </w:tc>
        <w:tc>
          <w:tcPr>
            <w:tcW w:w="889" w:type="pct"/>
            <w:tcBorders>
              <w:top w:val="single" w:sz="6" w:space="0" w:color="auto"/>
              <w:left w:val="nil"/>
              <w:right w:val="nil"/>
            </w:tcBorders>
          </w:tcPr>
          <w:p w14:paraId="3A08F35E" w14:textId="58709D63" w:rsidR="00A0377A" w:rsidRDefault="009D23BC" w:rsidP="008B4734">
            <w:pPr>
              <w:widowControl w:val="0"/>
              <w:autoSpaceDE w:val="0"/>
              <w:autoSpaceDN w:val="0"/>
              <w:adjustRightInd w:val="0"/>
              <w:spacing w:before="100" w:beforeAutospacing="1" w:after="100" w:afterAutospacing="1"/>
              <w:contextualSpacing/>
              <w:jc w:val="center"/>
            </w:pPr>
            <w:r>
              <w:t>-7</w:t>
            </w:r>
            <w:r w:rsidR="002A2F9B">
              <w:t>,</w:t>
            </w:r>
            <w:r>
              <w:t>648</w:t>
            </w:r>
          </w:p>
        </w:tc>
        <w:tc>
          <w:tcPr>
            <w:tcW w:w="889" w:type="pct"/>
            <w:tcBorders>
              <w:top w:val="single" w:sz="6" w:space="0" w:color="auto"/>
              <w:left w:val="nil"/>
              <w:right w:val="nil"/>
            </w:tcBorders>
          </w:tcPr>
          <w:p w14:paraId="046D3CD6" w14:textId="7352C90F" w:rsidR="00A0377A" w:rsidRDefault="00783C9C" w:rsidP="008B4734">
            <w:pPr>
              <w:widowControl w:val="0"/>
              <w:autoSpaceDE w:val="0"/>
              <w:autoSpaceDN w:val="0"/>
              <w:adjustRightInd w:val="0"/>
              <w:spacing w:before="100" w:beforeAutospacing="1" w:after="100" w:afterAutospacing="1"/>
              <w:contextualSpacing/>
              <w:jc w:val="center"/>
            </w:pPr>
            <w:r>
              <w:t>-8</w:t>
            </w:r>
            <w:r w:rsidR="002A2F9B">
              <w:t>,</w:t>
            </w:r>
            <w:r>
              <w:t>896</w:t>
            </w:r>
          </w:p>
        </w:tc>
        <w:tc>
          <w:tcPr>
            <w:tcW w:w="889" w:type="pct"/>
            <w:tcBorders>
              <w:top w:val="single" w:sz="6" w:space="0" w:color="auto"/>
              <w:left w:val="nil"/>
              <w:right w:val="nil"/>
            </w:tcBorders>
          </w:tcPr>
          <w:p w14:paraId="2DA44F19" w14:textId="4CA7E4C8" w:rsidR="00A0377A" w:rsidRDefault="002A2F9B" w:rsidP="008B4734">
            <w:pPr>
              <w:widowControl w:val="0"/>
              <w:autoSpaceDE w:val="0"/>
              <w:autoSpaceDN w:val="0"/>
              <w:adjustRightInd w:val="0"/>
              <w:spacing w:before="100" w:beforeAutospacing="1" w:after="100" w:afterAutospacing="1"/>
              <w:contextualSpacing/>
              <w:jc w:val="center"/>
            </w:pPr>
            <w:r>
              <w:t>-7,999</w:t>
            </w:r>
          </w:p>
        </w:tc>
        <w:tc>
          <w:tcPr>
            <w:tcW w:w="889" w:type="pct"/>
            <w:tcBorders>
              <w:top w:val="single" w:sz="6" w:space="0" w:color="auto"/>
              <w:left w:val="nil"/>
              <w:right w:val="nil"/>
            </w:tcBorders>
          </w:tcPr>
          <w:p w14:paraId="6637224C" w14:textId="701BDCF5" w:rsidR="00A0377A" w:rsidRDefault="00AB3B3C" w:rsidP="008B4734">
            <w:pPr>
              <w:widowControl w:val="0"/>
              <w:autoSpaceDE w:val="0"/>
              <w:autoSpaceDN w:val="0"/>
              <w:adjustRightInd w:val="0"/>
              <w:spacing w:before="100" w:beforeAutospacing="1" w:after="100" w:afterAutospacing="1"/>
              <w:contextualSpacing/>
              <w:jc w:val="center"/>
            </w:pPr>
            <w:r>
              <w:t>-11,682</w:t>
            </w:r>
          </w:p>
        </w:tc>
      </w:tr>
      <w:tr w:rsidR="006E7F74" w:rsidRPr="00066FD9" w14:paraId="453E8CE6" w14:textId="6C2BB3EB" w:rsidTr="00C974ED">
        <w:trPr>
          <w:jc w:val="center"/>
        </w:trPr>
        <w:tc>
          <w:tcPr>
            <w:tcW w:w="1442" w:type="pct"/>
            <w:tcBorders>
              <w:left w:val="nil"/>
              <w:right w:val="nil"/>
            </w:tcBorders>
          </w:tcPr>
          <w:p w14:paraId="0264C5FF" w14:textId="65C556E8" w:rsidR="00A0377A" w:rsidRPr="00E74BA3" w:rsidRDefault="006E7F74" w:rsidP="008B4734">
            <w:pPr>
              <w:widowControl w:val="0"/>
              <w:autoSpaceDE w:val="0"/>
              <w:autoSpaceDN w:val="0"/>
              <w:adjustRightInd w:val="0"/>
              <w:spacing w:before="100" w:beforeAutospacing="1" w:after="100" w:afterAutospacing="1"/>
              <w:contextualSpacing/>
            </w:pPr>
            <w:r>
              <w:t>(Pct Change)</w:t>
            </w:r>
          </w:p>
        </w:tc>
        <w:tc>
          <w:tcPr>
            <w:tcW w:w="889" w:type="pct"/>
            <w:tcBorders>
              <w:left w:val="nil"/>
              <w:right w:val="nil"/>
            </w:tcBorders>
          </w:tcPr>
          <w:p w14:paraId="6F0C666E" w14:textId="740F8640" w:rsidR="00A0377A" w:rsidRDefault="009D23BC" w:rsidP="008B4734">
            <w:pPr>
              <w:widowControl w:val="0"/>
              <w:autoSpaceDE w:val="0"/>
              <w:autoSpaceDN w:val="0"/>
              <w:adjustRightInd w:val="0"/>
              <w:spacing w:before="100" w:beforeAutospacing="1" w:after="100" w:afterAutospacing="1"/>
              <w:contextualSpacing/>
              <w:jc w:val="center"/>
            </w:pPr>
            <w:r>
              <w:t>-31.6%</w:t>
            </w:r>
          </w:p>
        </w:tc>
        <w:tc>
          <w:tcPr>
            <w:tcW w:w="889" w:type="pct"/>
            <w:tcBorders>
              <w:left w:val="nil"/>
              <w:right w:val="nil"/>
            </w:tcBorders>
          </w:tcPr>
          <w:p w14:paraId="49C27CE7" w14:textId="3337833D" w:rsidR="00940448" w:rsidRDefault="00783C9C" w:rsidP="008B4734">
            <w:pPr>
              <w:widowControl w:val="0"/>
              <w:autoSpaceDE w:val="0"/>
              <w:autoSpaceDN w:val="0"/>
              <w:adjustRightInd w:val="0"/>
              <w:spacing w:before="100" w:beforeAutospacing="1" w:after="100" w:afterAutospacing="1"/>
              <w:contextualSpacing/>
              <w:jc w:val="center"/>
            </w:pPr>
            <w:r>
              <w:t>-37.7%</w:t>
            </w:r>
          </w:p>
        </w:tc>
        <w:tc>
          <w:tcPr>
            <w:tcW w:w="889" w:type="pct"/>
            <w:tcBorders>
              <w:left w:val="nil"/>
              <w:right w:val="nil"/>
            </w:tcBorders>
          </w:tcPr>
          <w:p w14:paraId="78EC1322" w14:textId="15FCF0EC" w:rsidR="00A0377A" w:rsidRDefault="002A2F9B" w:rsidP="008B4734">
            <w:pPr>
              <w:widowControl w:val="0"/>
              <w:autoSpaceDE w:val="0"/>
              <w:autoSpaceDN w:val="0"/>
              <w:adjustRightInd w:val="0"/>
              <w:spacing w:before="100" w:beforeAutospacing="1" w:after="100" w:afterAutospacing="1"/>
              <w:contextualSpacing/>
              <w:jc w:val="center"/>
            </w:pPr>
            <w:r>
              <w:t>-34.0%</w:t>
            </w:r>
          </w:p>
        </w:tc>
        <w:tc>
          <w:tcPr>
            <w:tcW w:w="889" w:type="pct"/>
            <w:tcBorders>
              <w:left w:val="nil"/>
              <w:right w:val="nil"/>
            </w:tcBorders>
          </w:tcPr>
          <w:p w14:paraId="63A2374E" w14:textId="02508597" w:rsidR="00A0377A" w:rsidRDefault="00AB3B3C" w:rsidP="008B4734">
            <w:pPr>
              <w:widowControl w:val="0"/>
              <w:autoSpaceDE w:val="0"/>
              <w:autoSpaceDN w:val="0"/>
              <w:adjustRightInd w:val="0"/>
              <w:spacing w:before="100" w:beforeAutospacing="1" w:after="100" w:afterAutospacing="1"/>
              <w:contextualSpacing/>
              <w:jc w:val="center"/>
            </w:pPr>
            <w:r>
              <w:t>-53.9%</w:t>
            </w:r>
          </w:p>
        </w:tc>
      </w:tr>
      <w:tr w:rsidR="00291377" w:rsidRPr="00066FD9" w14:paraId="29B762FE" w14:textId="77777777" w:rsidTr="00C974ED">
        <w:trPr>
          <w:jc w:val="center"/>
        </w:trPr>
        <w:tc>
          <w:tcPr>
            <w:tcW w:w="1442" w:type="pct"/>
            <w:tcBorders>
              <w:left w:val="nil"/>
              <w:bottom w:val="single" w:sz="6" w:space="0" w:color="auto"/>
              <w:right w:val="nil"/>
            </w:tcBorders>
          </w:tcPr>
          <w:p w14:paraId="17102F04" w14:textId="1585DD4F" w:rsidR="00291377" w:rsidRDefault="00940448" w:rsidP="00940448">
            <w:pPr>
              <w:widowControl w:val="0"/>
              <w:autoSpaceDE w:val="0"/>
              <w:autoSpaceDN w:val="0"/>
              <w:adjustRightInd w:val="0"/>
              <w:spacing w:before="100" w:beforeAutospacing="1" w:after="100" w:afterAutospacing="1"/>
              <w:contextualSpacing/>
            </w:pPr>
            <w:r>
              <w:t>(As Pct of Co Pop)</w:t>
            </w:r>
          </w:p>
        </w:tc>
        <w:tc>
          <w:tcPr>
            <w:tcW w:w="889" w:type="pct"/>
            <w:tcBorders>
              <w:left w:val="nil"/>
              <w:bottom w:val="single" w:sz="6" w:space="0" w:color="auto"/>
              <w:right w:val="nil"/>
            </w:tcBorders>
          </w:tcPr>
          <w:p w14:paraId="62E872CF" w14:textId="730C2479" w:rsidR="00291377" w:rsidRDefault="00940448" w:rsidP="008B4734">
            <w:pPr>
              <w:widowControl w:val="0"/>
              <w:autoSpaceDE w:val="0"/>
              <w:autoSpaceDN w:val="0"/>
              <w:adjustRightInd w:val="0"/>
              <w:spacing w:before="100" w:beforeAutospacing="1" w:after="100" w:afterAutospacing="1"/>
              <w:contextualSpacing/>
              <w:jc w:val="center"/>
            </w:pPr>
            <w:r>
              <w:t>-3.2%</w:t>
            </w:r>
          </w:p>
        </w:tc>
        <w:tc>
          <w:tcPr>
            <w:tcW w:w="889" w:type="pct"/>
            <w:tcBorders>
              <w:left w:val="nil"/>
              <w:bottom w:val="single" w:sz="6" w:space="0" w:color="auto"/>
              <w:right w:val="nil"/>
            </w:tcBorders>
          </w:tcPr>
          <w:p w14:paraId="0A895E8C" w14:textId="73B285B6" w:rsidR="00291377" w:rsidRDefault="00940448" w:rsidP="008B4734">
            <w:pPr>
              <w:widowControl w:val="0"/>
              <w:autoSpaceDE w:val="0"/>
              <w:autoSpaceDN w:val="0"/>
              <w:adjustRightInd w:val="0"/>
              <w:spacing w:before="100" w:beforeAutospacing="1" w:after="100" w:afterAutospacing="1"/>
              <w:contextualSpacing/>
              <w:jc w:val="center"/>
            </w:pPr>
            <w:r>
              <w:t>-3.8%</w:t>
            </w:r>
          </w:p>
        </w:tc>
        <w:tc>
          <w:tcPr>
            <w:tcW w:w="889" w:type="pct"/>
            <w:tcBorders>
              <w:left w:val="nil"/>
              <w:bottom w:val="single" w:sz="6" w:space="0" w:color="auto"/>
              <w:right w:val="nil"/>
            </w:tcBorders>
          </w:tcPr>
          <w:p w14:paraId="52FCD130" w14:textId="1C124778" w:rsidR="00291377" w:rsidRDefault="00940448" w:rsidP="008B4734">
            <w:pPr>
              <w:widowControl w:val="0"/>
              <w:autoSpaceDE w:val="0"/>
              <w:autoSpaceDN w:val="0"/>
              <w:adjustRightInd w:val="0"/>
              <w:spacing w:before="100" w:beforeAutospacing="1" w:after="100" w:afterAutospacing="1"/>
              <w:contextualSpacing/>
              <w:jc w:val="center"/>
            </w:pPr>
            <w:r>
              <w:t>-3.5%</w:t>
            </w:r>
          </w:p>
        </w:tc>
        <w:tc>
          <w:tcPr>
            <w:tcW w:w="889" w:type="pct"/>
            <w:tcBorders>
              <w:left w:val="nil"/>
              <w:bottom w:val="single" w:sz="6" w:space="0" w:color="auto"/>
              <w:right w:val="nil"/>
            </w:tcBorders>
          </w:tcPr>
          <w:p w14:paraId="47F1FE58" w14:textId="5CC94FA5" w:rsidR="00291377" w:rsidRDefault="00940448" w:rsidP="008B4734">
            <w:pPr>
              <w:widowControl w:val="0"/>
              <w:autoSpaceDE w:val="0"/>
              <w:autoSpaceDN w:val="0"/>
              <w:adjustRightInd w:val="0"/>
              <w:spacing w:before="100" w:beforeAutospacing="1" w:after="100" w:afterAutospacing="1"/>
              <w:contextualSpacing/>
              <w:jc w:val="center"/>
            </w:pPr>
            <w:r>
              <w:t>-5.0%</w:t>
            </w:r>
          </w:p>
        </w:tc>
      </w:tr>
      <w:tr w:rsidR="00A0377A" w:rsidRPr="00066FD9" w14:paraId="0147911A" w14:textId="61308BC4" w:rsidTr="00C974ED">
        <w:trPr>
          <w:jc w:val="center"/>
        </w:trPr>
        <w:tc>
          <w:tcPr>
            <w:tcW w:w="1442" w:type="pct"/>
            <w:tcBorders>
              <w:top w:val="single" w:sz="6" w:space="0" w:color="auto"/>
              <w:left w:val="nil"/>
              <w:right w:val="nil"/>
            </w:tcBorders>
          </w:tcPr>
          <w:p w14:paraId="0BB02B60" w14:textId="615C04B7" w:rsidR="00A0377A" w:rsidRPr="00E74BA3" w:rsidRDefault="006E7F74" w:rsidP="008B4734">
            <w:pPr>
              <w:widowControl w:val="0"/>
              <w:autoSpaceDE w:val="0"/>
              <w:autoSpaceDN w:val="0"/>
              <w:adjustRightInd w:val="0"/>
              <w:spacing w:before="100" w:beforeAutospacing="1" w:after="100" w:afterAutospacing="1"/>
              <w:contextualSpacing/>
            </w:pPr>
            <w:r>
              <w:t xml:space="preserve">Change </w:t>
            </w:r>
            <w:r w:rsidR="009C5223">
              <w:t>Young Owners</w:t>
            </w:r>
          </w:p>
        </w:tc>
        <w:tc>
          <w:tcPr>
            <w:tcW w:w="889" w:type="pct"/>
            <w:tcBorders>
              <w:top w:val="single" w:sz="6" w:space="0" w:color="auto"/>
              <w:left w:val="nil"/>
              <w:right w:val="nil"/>
            </w:tcBorders>
          </w:tcPr>
          <w:p w14:paraId="007CB0DC" w14:textId="69BED14E" w:rsidR="00A0377A" w:rsidRDefault="009D23BC" w:rsidP="008B4734">
            <w:pPr>
              <w:widowControl w:val="0"/>
              <w:autoSpaceDE w:val="0"/>
              <w:autoSpaceDN w:val="0"/>
              <w:adjustRightInd w:val="0"/>
              <w:spacing w:before="100" w:beforeAutospacing="1" w:after="100" w:afterAutospacing="1"/>
              <w:contextualSpacing/>
              <w:jc w:val="center"/>
            </w:pPr>
            <w:r>
              <w:t>+1</w:t>
            </w:r>
            <w:r w:rsidR="002A2F9B">
              <w:t>,</w:t>
            </w:r>
            <w:r>
              <w:t>843</w:t>
            </w:r>
          </w:p>
        </w:tc>
        <w:tc>
          <w:tcPr>
            <w:tcW w:w="889" w:type="pct"/>
            <w:tcBorders>
              <w:top w:val="single" w:sz="6" w:space="0" w:color="auto"/>
              <w:left w:val="nil"/>
              <w:right w:val="nil"/>
            </w:tcBorders>
          </w:tcPr>
          <w:p w14:paraId="4A999720" w14:textId="49F84C72" w:rsidR="00A0377A" w:rsidRDefault="009D23BC" w:rsidP="008B4734">
            <w:pPr>
              <w:widowControl w:val="0"/>
              <w:autoSpaceDE w:val="0"/>
              <w:autoSpaceDN w:val="0"/>
              <w:adjustRightInd w:val="0"/>
              <w:spacing w:before="100" w:beforeAutospacing="1" w:after="100" w:afterAutospacing="1"/>
              <w:contextualSpacing/>
              <w:jc w:val="center"/>
            </w:pPr>
            <w:r>
              <w:t>-6</w:t>
            </w:r>
            <w:r w:rsidR="002A2F9B">
              <w:t>,</w:t>
            </w:r>
            <w:r>
              <w:t>263</w:t>
            </w:r>
          </w:p>
        </w:tc>
        <w:tc>
          <w:tcPr>
            <w:tcW w:w="889" w:type="pct"/>
            <w:tcBorders>
              <w:top w:val="single" w:sz="6" w:space="0" w:color="auto"/>
              <w:left w:val="nil"/>
              <w:right w:val="nil"/>
            </w:tcBorders>
          </w:tcPr>
          <w:p w14:paraId="05C11DB4" w14:textId="6000B3C2" w:rsidR="00A0377A" w:rsidRPr="00DB58C2" w:rsidRDefault="002A2F9B" w:rsidP="008B4734">
            <w:pPr>
              <w:widowControl w:val="0"/>
              <w:autoSpaceDE w:val="0"/>
              <w:autoSpaceDN w:val="0"/>
              <w:adjustRightInd w:val="0"/>
              <w:spacing w:before="100" w:beforeAutospacing="1" w:after="100" w:afterAutospacing="1"/>
              <w:contextualSpacing/>
              <w:jc w:val="center"/>
            </w:pPr>
            <w:r>
              <w:t>-12,554</w:t>
            </w:r>
          </w:p>
        </w:tc>
        <w:tc>
          <w:tcPr>
            <w:tcW w:w="889" w:type="pct"/>
            <w:tcBorders>
              <w:top w:val="single" w:sz="6" w:space="0" w:color="auto"/>
              <w:left w:val="nil"/>
              <w:right w:val="nil"/>
            </w:tcBorders>
          </w:tcPr>
          <w:p w14:paraId="1E6ED5A4" w14:textId="14C5C62E" w:rsidR="00A0377A" w:rsidRPr="00DB58C2" w:rsidRDefault="00AB3B3C" w:rsidP="008B4734">
            <w:pPr>
              <w:widowControl w:val="0"/>
              <w:autoSpaceDE w:val="0"/>
              <w:autoSpaceDN w:val="0"/>
              <w:adjustRightInd w:val="0"/>
              <w:spacing w:before="100" w:beforeAutospacing="1" w:after="100" w:afterAutospacing="1"/>
              <w:contextualSpacing/>
              <w:jc w:val="center"/>
            </w:pPr>
            <w:r>
              <w:t>-37,712</w:t>
            </w:r>
          </w:p>
        </w:tc>
      </w:tr>
      <w:tr w:rsidR="006E7F74" w:rsidRPr="00066FD9" w14:paraId="1C94000E" w14:textId="1D06BC96" w:rsidTr="00C974ED">
        <w:trPr>
          <w:jc w:val="center"/>
        </w:trPr>
        <w:tc>
          <w:tcPr>
            <w:tcW w:w="1442" w:type="pct"/>
            <w:tcBorders>
              <w:left w:val="nil"/>
              <w:right w:val="nil"/>
            </w:tcBorders>
          </w:tcPr>
          <w:p w14:paraId="319655A8" w14:textId="384AB3A3" w:rsidR="006E7F74" w:rsidRPr="00E74BA3" w:rsidRDefault="006E7F74" w:rsidP="006E7F74">
            <w:pPr>
              <w:widowControl w:val="0"/>
              <w:autoSpaceDE w:val="0"/>
              <w:autoSpaceDN w:val="0"/>
              <w:adjustRightInd w:val="0"/>
              <w:spacing w:before="100" w:beforeAutospacing="1" w:after="100" w:afterAutospacing="1"/>
              <w:contextualSpacing/>
            </w:pPr>
            <w:r>
              <w:t>(Pct Change)</w:t>
            </w:r>
          </w:p>
        </w:tc>
        <w:tc>
          <w:tcPr>
            <w:tcW w:w="889" w:type="pct"/>
            <w:tcBorders>
              <w:left w:val="nil"/>
              <w:right w:val="nil"/>
            </w:tcBorders>
          </w:tcPr>
          <w:p w14:paraId="6F60E53F" w14:textId="434934BB" w:rsidR="006E7F74" w:rsidRDefault="006E7F74" w:rsidP="006E7F74">
            <w:pPr>
              <w:widowControl w:val="0"/>
              <w:autoSpaceDE w:val="0"/>
              <w:autoSpaceDN w:val="0"/>
              <w:adjustRightInd w:val="0"/>
              <w:spacing w:before="100" w:beforeAutospacing="1" w:after="100" w:afterAutospacing="1"/>
              <w:contextualSpacing/>
              <w:jc w:val="center"/>
            </w:pPr>
            <w:r>
              <w:t>+1.4%</w:t>
            </w:r>
          </w:p>
        </w:tc>
        <w:tc>
          <w:tcPr>
            <w:tcW w:w="889" w:type="pct"/>
            <w:tcBorders>
              <w:left w:val="nil"/>
              <w:right w:val="nil"/>
            </w:tcBorders>
          </w:tcPr>
          <w:p w14:paraId="734797B5" w14:textId="2DC1B28E" w:rsidR="006E7F74" w:rsidRDefault="006E7F74" w:rsidP="006E7F74">
            <w:pPr>
              <w:widowControl w:val="0"/>
              <w:autoSpaceDE w:val="0"/>
              <w:autoSpaceDN w:val="0"/>
              <w:adjustRightInd w:val="0"/>
              <w:spacing w:before="100" w:beforeAutospacing="1" w:after="100" w:afterAutospacing="1"/>
              <w:contextualSpacing/>
              <w:jc w:val="center"/>
            </w:pPr>
            <w:r>
              <w:t>-4.9%</w:t>
            </w:r>
          </w:p>
        </w:tc>
        <w:tc>
          <w:tcPr>
            <w:tcW w:w="889" w:type="pct"/>
            <w:tcBorders>
              <w:left w:val="nil"/>
              <w:right w:val="nil"/>
            </w:tcBorders>
          </w:tcPr>
          <w:p w14:paraId="157EBEF4" w14:textId="23B3403D" w:rsidR="006E7F74" w:rsidRDefault="006E7F74" w:rsidP="006E7F74">
            <w:pPr>
              <w:widowControl w:val="0"/>
              <w:autoSpaceDE w:val="0"/>
              <w:autoSpaceDN w:val="0"/>
              <w:adjustRightInd w:val="0"/>
              <w:spacing w:before="100" w:beforeAutospacing="1" w:after="100" w:afterAutospacing="1"/>
              <w:contextualSpacing/>
              <w:jc w:val="center"/>
            </w:pPr>
            <w:r>
              <w:t>-9.0%</w:t>
            </w:r>
          </w:p>
        </w:tc>
        <w:tc>
          <w:tcPr>
            <w:tcW w:w="889" w:type="pct"/>
            <w:tcBorders>
              <w:left w:val="nil"/>
              <w:right w:val="nil"/>
            </w:tcBorders>
          </w:tcPr>
          <w:p w14:paraId="267D8F53" w14:textId="65854FF2" w:rsidR="006E7F74" w:rsidRDefault="006E7F74" w:rsidP="006E7F74">
            <w:pPr>
              <w:widowControl w:val="0"/>
              <w:autoSpaceDE w:val="0"/>
              <w:autoSpaceDN w:val="0"/>
              <w:adjustRightInd w:val="0"/>
              <w:spacing w:before="100" w:beforeAutospacing="1" w:after="100" w:afterAutospacing="1"/>
              <w:contextualSpacing/>
              <w:jc w:val="center"/>
            </w:pPr>
            <w:r>
              <w:t>-29.7%</w:t>
            </w:r>
          </w:p>
        </w:tc>
      </w:tr>
      <w:tr w:rsidR="00291377" w:rsidRPr="00066FD9" w14:paraId="1AC5004A" w14:textId="77777777" w:rsidTr="00C974ED">
        <w:trPr>
          <w:jc w:val="center"/>
        </w:trPr>
        <w:tc>
          <w:tcPr>
            <w:tcW w:w="1442" w:type="pct"/>
            <w:tcBorders>
              <w:left w:val="nil"/>
              <w:bottom w:val="single" w:sz="6" w:space="0" w:color="auto"/>
              <w:right w:val="nil"/>
            </w:tcBorders>
          </w:tcPr>
          <w:p w14:paraId="32297B35" w14:textId="4B87D7AC" w:rsidR="00291377" w:rsidRDefault="00940448" w:rsidP="006E7F74">
            <w:pPr>
              <w:widowControl w:val="0"/>
              <w:autoSpaceDE w:val="0"/>
              <w:autoSpaceDN w:val="0"/>
              <w:adjustRightInd w:val="0"/>
              <w:spacing w:before="100" w:beforeAutospacing="1" w:after="100" w:afterAutospacing="1"/>
              <w:contextualSpacing/>
            </w:pPr>
            <w:r>
              <w:t>(As Pct of Co Pop)</w:t>
            </w:r>
          </w:p>
        </w:tc>
        <w:tc>
          <w:tcPr>
            <w:tcW w:w="889" w:type="pct"/>
            <w:tcBorders>
              <w:left w:val="nil"/>
              <w:bottom w:val="single" w:sz="6" w:space="0" w:color="auto"/>
              <w:right w:val="nil"/>
            </w:tcBorders>
          </w:tcPr>
          <w:p w14:paraId="7C685E11" w14:textId="1CAD19F7" w:rsidR="00291377" w:rsidRDefault="00940448" w:rsidP="00940448">
            <w:pPr>
              <w:widowControl w:val="0"/>
              <w:autoSpaceDE w:val="0"/>
              <w:autoSpaceDN w:val="0"/>
              <w:adjustRightInd w:val="0"/>
              <w:spacing w:before="100" w:beforeAutospacing="1" w:after="100" w:afterAutospacing="1"/>
              <w:contextualSpacing/>
              <w:jc w:val="center"/>
            </w:pPr>
            <w:r>
              <w:t>+0.8%</w:t>
            </w:r>
          </w:p>
        </w:tc>
        <w:tc>
          <w:tcPr>
            <w:tcW w:w="889" w:type="pct"/>
            <w:tcBorders>
              <w:left w:val="nil"/>
              <w:bottom w:val="single" w:sz="6" w:space="0" w:color="auto"/>
              <w:right w:val="nil"/>
            </w:tcBorders>
          </w:tcPr>
          <w:p w14:paraId="4AEDACC2" w14:textId="4FF02854" w:rsidR="00291377" w:rsidRDefault="00940448" w:rsidP="006E7F74">
            <w:pPr>
              <w:widowControl w:val="0"/>
              <w:autoSpaceDE w:val="0"/>
              <w:autoSpaceDN w:val="0"/>
              <w:adjustRightInd w:val="0"/>
              <w:spacing w:before="100" w:beforeAutospacing="1" w:after="100" w:afterAutospacing="1"/>
              <w:contextualSpacing/>
              <w:jc w:val="center"/>
            </w:pPr>
            <w:r>
              <w:t>-2.7%</w:t>
            </w:r>
          </w:p>
        </w:tc>
        <w:tc>
          <w:tcPr>
            <w:tcW w:w="889" w:type="pct"/>
            <w:tcBorders>
              <w:left w:val="nil"/>
              <w:bottom w:val="single" w:sz="6" w:space="0" w:color="auto"/>
              <w:right w:val="nil"/>
            </w:tcBorders>
          </w:tcPr>
          <w:p w14:paraId="1B096E9D" w14:textId="044C8011" w:rsidR="00291377" w:rsidRDefault="00940448" w:rsidP="006E7F74">
            <w:pPr>
              <w:widowControl w:val="0"/>
              <w:autoSpaceDE w:val="0"/>
              <w:autoSpaceDN w:val="0"/>
              <w:adjustRightInd w:val="0"/>
              <w:spacing w:before="100" w:beforeAutospacing="1" w:after="100" w:afterAutospacing="1"/>
              <w:contextualSpacing/>
              <w:jc w:val="center"/>
            </w:pPr>
            <w:r>
              <w:t>-5.4%</w:t>
            </w:r>
          </w:p>
        </w:tc>
        <w:tc>
          <w:tcPr>
            <w:tcW w:w="889" w:type="pct"/>
            <w:tcBorders>
              <w:left w:val="nil"/>
              <w:bottom w:val="single" w:sz="6" w:space="0" w:color="auto"/>
              <w:right w:val="nil"/>
            </w:tcBorders>
          </w:tcPr>
          <w:p w14:paraId="53E5323C" w14:textId="32014B94" w:rsidR="00291377" w:rsidRDefault="00940448" w:rsidP="006E7F74">
            <w:pPr>
              <w:widowControl w:val="0"/>
              <w:autoSpaceDE w:val="0"/>
              <w:autoSpaceDN w:val="0"/>
              <w:adjustRightInd w:val="0"/>
              <w:spacing w:before="100" w:beforeAutospacing="1" w:after="100" w:afterAutospacing="1"/>
              <w:contextualSpacing/>
              <w:jc w:val="center"/>
            </w:pPr>
            <w:r>
              <w:t>-16.3%</w:t>
            </w:r>
          </w:p>
        </w:tc>
      </w:tr>
      <w:tr w:rsidR="006E7F74" w:rsidRPr="00066FD9" w14:paraId="164808C2" w14:textId="39F02BE9" w:rsidTr="00C974ED">
        <w:trPr>
          <w:jc w:val="center"/>
        </w:trPr>
        <w:tc>
          <w:tcPr>
            <w:tcW w:w="1442" w:type="pct"/>
            <w:tcBorders>
              <w:top w:val="single" w:sz="6" w:space="0" w:color="auto"/>
              <w:left w:val="nil"/>
              <w:right w:val="nil"/>
            </w:tcBorders>
          </w:tcPr>
          <w:p w14:paraId="74D2D1F4" w14:textId="222DD7EB" w:rsidR="006E7F74" w:rsidRPr="00E74BA3" w:rsidRDefault="006E7F74" w:rsidP="006E7F74">
            <w:pPr>
              <w:widowControl w:val="0"/>
              <w:autoSpaceDE w:val="0"/>
              <w:autoSpaceDN w:val="0"/>
              <w:adjustRightInd w:val="0"/>
              <w:spacing w:before="100" w:beforeAutospacing="1" w:after="100" w:afterAutospacing="1"/>
              <w:contextualSpacing/>
            </w:pPr>
            <w:r>
              <w:t xml:space="preserve">Change Older Renters </w:t>
            </w:r>
          </w:p>
        </w:tc>
        <w:tc>
          <w:tcPr>
            <w:tcW w:w="889" w:type="pct"/>
            <w:tcBorders>
              <w:top w:val="single" w:sz="6" w:space="0" w:color="auto"/>
              <w:left w:val="nil"/>
              <w:right w:val="nil"/>
            </w:tcBorders>
          </w:tcPr>
          <w:p w14:paraId="56CD78AC" w14:textId="7AEBAB47" w:rsidR="006E7F74" w:rsidRDefault="006E7F74" w:rsidP="006E7F74">
            <w:pPr>
              <w:widowControl w:val="0"/>
              <w:autoSpaceDE w:val="0"/>
              <w:autoSpaceDN w:val="0"/>
              <w:adjustRightInd w:val="0"/>
              <w:spacing w:before="100" w:beforeAutospacing="1" w:after="100" w:afterAutospacing="1"/>
              <w:contextualSpacing/>
              <w:jc w:val="center"/>
            </w:pPr>
            <w:r>
              <w:t>+526</w:t>
            </w:r>
          </w:p>
        </w:tc>
        <w:tc>
          <w:tcPr>
            <w:tcW w:w="889" w:type="pct"/>
            <w:tcBorders>
              <w:top w:val="single" w:sz="6" w:space="0" w:color="auto"/>
              <w:left w:val="nil"/>
              <w:right w:val="nil"/>
            </w:tcBorders>
          </w:tcPr>
          <w:p w14:paraId="239B4237" w14:textId="4AFEFA00" w:rsidR="006E7F74" w:rsidRDefault="006E7F74" w:rsidP="006E7F74">
            <w:pPr>
              <w:widowControl w:val="0"/>
              <w:autoSpaceDE w:val="0"/>
              <w:autoSpaceDN w:val="0"/>
              <w:adjustRightInd w:val="0"/>
              <w:spacing w:before="100" w:beforeAutospacing="1" w:after="100" w:afterAutospacing="1"/>
              <w:contextualSpacing/>
              <w:jc w:val="center"/>
            </w:pPr>
            <w:r>
              <w:t>+95</w:t>
            </w:r>
          </w:p>
        </w:tc>
        <w:tc>
          <w:tcPr>
            <w:tcW w:w="889" w:type="pct"/>
            <w:tcBorders>
              <w:top w:val="single" w:sz="6" w:space="0" w:color="auto"/>
              <w:left w:val="nil"/>
              <w:right w:val="nil"/>
            </w:tcBorders>
          </w:tcPr>
          <w:p w14:paraId="02B83CFA" w14:textId="333AAD80" w:rsidR="006E7F74" w:rsidRDefault="006E7F74" w:rsidP="006E7F74">
            <w:pPr>
              <w:widowControl w:val="0"/>
              <w:autoSpaceDE w:val="0"/>
              <w:autoSpaceDN w:val="0"/>
              <w:adjustRightInd w:val="0"/>
              <w:spacing w:before="100" w:beforeAutospacing="1" w:after="100" w:afterAutospacing="1"/>
              <w:contextualSpacing/>
              <w:jc w:val="center"/>
            </w:pPr>
            <w:r>
              <w:t>+1,500</w:t>
            </w:r>
          </w:p>
        </w:tc>
        <w:tc>
          <w:tcPr>
            <w:tcW w:w="889" w:type="pct"/>
            <w:tcBorders>
              <w:top w:val="single" w:sz="6" w:space="0" w:color="auto"/>
              <w:left w:val="nil"/>
              <w:right w:val="nil"/>
            </w:tcBorders>
          </w:tcPr>
          <w:p w14:paraId="4DD14B6E" w14:textId="38AF6B16" w:rsidR="006E7F74" w:rsidRDefault="006E7F74" w:rsidP="006E7F74">
            <w:pPr>
              <w:widowControl w:val="0"/>
              <w:autoSpaceDE w:val="0"/>
              <w:autoSpaceDN w:val="0"/>
              <w:adjustRightInd w:val="0"/>
              <w:spacing w:before="100" w:beforeAutospacing="1" w:after="100" w:afterAutospacing="1"/>
              <w:contextualSpacing/>
              <w:jc w:val="center"/>
            </w:pPr>
            <w:r>
              <w:t>+111</w:t>
            </w:r>
          </w:p>
        </w:tc>
      </w:tr>
      <w:tr w:rsidR="006E7F74" w:rsidRPr="00066FD9" w14:paraId="01908D80" w14:textId="7147A73B" w:rsidTr="00C974ED">
        <w:trPr>
          <w:jc w:val="center"/>
        </w:trPr>
        <w:tc>
          <w:tcPr>
            <w:tcW w:w="1442" w:type="pct"/>
            <w:tcBorders>
              <w:left w:val="nil"/>
              <w:right w:val="nil"/>
            </w:tcBorders>
          </w:tcPr>
          <w:p w14:paraId="6484A69C" w14:textId="626D4070" w:rsidR="006E7F74" w:rsidRPr="00E74BA3" w:rsidRDefault="006E7F74" w:rsidP="006E7F74">
            <w:pPr>
              <w:widowControl w:val="0"/>
              <w:autoSpaceDE w:val="0"/>
              <w:autoSpaceDN w:val="0"/>
              <w:adjustRightInd w:val="0"/>
              <w:spacing w:before="100" w:beforeAutospacing="1" w:after="100" w:afterAutospacing="1"/>
              <w:contextualSpacing/>
            </w:pPr>
            <w:r>
              <w:t>(Pct Change)</w:t>
            </w:r>
          </w:p>
        </w:tc>
        <w:tc>
          <w:tcPr>
            <w:tcW w:w="889" w:type="pct"/>
            <w:tcBorders>
              <w:left w:val="nil"/>
              <w:right w:val="nil"/>
            </w:tcBorders>
          </w:tcPr>
          <w:p w14:paraId="4FF887FC" w14:textId="3E16BDC0" w:rsidR="006E7F74" w:rsidRDefault="006E7F74" w:rsidP="006E7F74">
            <w:pPr>
              <w:widowControl w:val="0"/>
              <w:autoSpaceDE w:val="0"/>
              <w:autoSpaceDN w:val="0"/>
              <w:adjustRightInd w:val="0"/>
              <w:spacing w:before="100" w:beforeAutospacing="1" w:after="100" w:afterAutospacing="1"/>
              <w:contextualSpacing/>
              <w:jc w:val="center"/>
            </w:pPr>
            <w:r>
              <w:t>+7.8%</w:t>
            </w:r>
          </w:p>
        </w:tc>
        <w:tc>
          <w:tcPr>
            <w:tcW w:w="889" w:type="pct"/>
            <w:tcBorders>
              <w:left w:val="nil"/>
              <w:right w:val="nil"/>
            </w:tcBorders>
          </w:tcPr>
          <w:p w14:paraId="0C85BC2C" w14:textId="1CF1D2A7" w:rsidR="006E7F74" w:rsidRDefault="006E7F74" w:rsidP="006E7F74">
            <w:pPr>
              <w:widowControl w:val="0"/>
              <w:autoSpaceDE w:val="0"/>
              <w:autoSpaceDN w:val="0"/>
              <w:adjustRightInd w:val="0"/>
              <w:spacing w:before="100" w:beforeAutospacing="1" w:after="100" w:afterAutospacing="1"/>
              <w:contextualSpacing/>
              <w:jc w:val="center"/>
            </w:pPr>
            <w:r>
              <w:t>+1.4%</w:t>
            </w:r>
          </w:p>
        </w:tc>
        <w:tc>
          <w:tcPr>
            <w:tcW w:w="889" w:type="pct"/>
            <w:tcBorders>
              <w:left w:val="nil"/>
              <w:right w:val="nil"/>
            </w:tcBorders>
          </w:tcPr>
          <w:p w14:paraId="59C8700D" w14:textId="6D1ED58E" w:rsidR="006E7F74" w:rsidRDefault="006E7F74" w:rsidP="006E7F74">
            <w:pPr>
              <w:widowControl w:val="0"/>
              <w:autoSpaceDE w:val="0"/>
              <w:autoSpaceDN w:val="0"/>
              <w:adjustRightInd w:val="0"/>
              <w:spacing w:before="100" w:beforeAutospacing="1" w:after="100" w:afterAutospacing="1"/>
              <w:contextualSpacing/>
              <w:jc w:val="center"/>
            </w:pPr>
            <w:r>
              <w:t>+22.7%</w:t>
            </w:r>
          </w:p>
        </w:tc>
        <w:tc>
          <w:tcPr>
            <w:tcW w:w="889" w:type="pct"/>
            <w:tcBorders>
              <w:left w:val="nil"/>
              <w:right w:val="nil"/>
            </w:tcBorders>
          </w:tcPr>
          <w:p w14:paraId="64E76E54" w14:textId="2D705A7E" w:rsidR="006E7F74" w:rsidRDefault="006E7F74" w:rsidP="006E7F74">
            <w:pPr>
              <w:widowControl w:val="0"/>
              <w:autoSpaceDE w:val="0"/>
              <w:autoSpaceDN w:val="0"/>
              <w:adjustRightInd w:val="0"/>
              <w:spacing w:before="100" w:beforeAutospacing="1" w:after="100" w:afterAutospacing="1"/>
              <w:contextualSpacing/>
              <w:jc w:val="center"/>
            </w:pPr>
            <w:r>
              <w:t>+1.9%</w:t>
            </w:r>
          </w:p>
        </w:tc>
      </w:tr>
      <w:tr w:rsidR="00291377" w:rsidRPr="00066FD9" w14:paraId="50DA1B0B" w14:textId="77777777" w:rsidTr="00C974ED">
        <w:trPr>
          <w:jc w:val="center"/>
        </w:trPr>
        <w:tc>
          <w:tcPr>
            <w:tcW w:w="1442" w:type="pct"/>
            <w:tcBorders>
              <w:left w:val="nil"/>
              <w:bottom w:val="single" w:sz="6" w:space="0" w:color="auto"/>
              <w:right w:val="nil"/>
            </w:tcBorders>
          </w:tcPr>
          <w:p w14:paraId="4D2AF22A" w14:textId="3569AF43" w:rsidR="00291377" w:rsidRDefault="00940448" w:rsidP="006E7F74">
            <w:pPr>
              <w:widowControl w:val="0"/>
              <w:autoSpaceDE w:val="0"/>
              <w:autoSpaceDN w:val="0"/>
              <w:adjustRightInd w:val="0"/>
              <w:spacing w:before="100" w:beforeAutospacing="1" w:after="100" w:afterAutospacing="1"/>
              <w:contextualSpacing/>
            </w:pPr>
            <w:r>
              <w:t>(As Pct of Co Pop)</w:t>
            </w:r>
          </w:p>
        </w:tc>
        <w:tc>
          <w:tcPr>
            <w:tcW w:w="889" w:type="pct"/>
            <w:tcBorders>
              <w:left w:val="nil"/>
              <w:bottom w:val="single" w:sz="6" w:space="0" w:color="auto"/>
              <w:right w:val="nil"/>
            </w:tcBorders>
          </w:tcPr>
          <w:p w14:paraId="03991492" w14:textId="7DC03A2F" w:rsidR="00291377" w:rsidRDefault="00940448" w:rsidP="006E7F74">
            <w:pPr>
              <w:widowControl w:val="0"/>
              <w:autoSpaceDE w:val="0"/>
              <w:autoSpaceDN w:val="0"/>
              <w:adjustRightInd w:val="0"/>
              <w:spacing w:before="100" w:beforeAutospacing="1" w:after="100" w:afterAutospacing="1"/>
              <w:contextualSpacing/>
              <w:jc w:val="center"/>
            </w:pPr>
            <w:r>
              <w:t>+0.2%</w:t>
            </w:r>
          </w:p>
        </w:tc>
        <w:tc>
          <w:tcPr>
            <w:tcW w:w="889" w:type="pct"/>
            <w:tcBorders>
              <w:left w:val="nil"/>
              <w:bottom w:val="single" w:sz="6" w:space="0" w:color="auto"/>
              <w:right w:val="nil"/>
            </w:tcBorders>
          </w:tcPr>
          <w:p w14:paraId="22B6DA51" w14:textId="4B47FAFA" w:rsidR="00291377" w:rsidRDefault="00940448" w:rsidP="006E7F74">
            <w:pPr>
              <w:widowControl w:val="0"/>
              <w:autoSpaceDE w:val="0"/>
              <w:autoSpaceDN w:val="0"/>
              <w:adjustRightInd w:val="0"/>
              <w:spacing w:before="100" w:beforeAutospacing="1" w:after="100" w:afterAutospacing="1"/>
              <w:contextualSpacing/>
              <w:jc w:val="center"/>
            </w:pPr>
            <w:r>
              <w:t>&lt;0.1%</w:t>
            </w:r>
          </w:p>
        </w:tc>
        <w:tc>
          <w:tcPr>
            <w:tcW w:w="889" w:type="pct"/>
            <w:tcBorders>
              <w:left w:val="nil"/>
              <w:bottom w:val="single" w:sz="6" w:space="0" w:color="auto"/>
              <w:right w:val="nil"/>
            </w:tcBorders>
          </w:tcPr>
          <w:p w14:paraId="5BE20E85" w14:textId="05D9CBDE" w:rsidR="00291377" w:rsidRDefault="00940448" w:rsidP="006E7F74">
            <w:pPr>
              <w:widowControl w:val="0"/>
              <w:autoSpaceDE w:val="0"/>
              <w:autoSpaceDN w:val="0"/>
              <w:adjustRightInd w:val="0"/>
              <w:spacing w:before="100" w:beforeAutospacing="1" w:after="100" w:afterAutospacing="1"/>
              <w:contextualSpacing/>
              <w:jc w:val="center"/>
            </w:pPr>
            <w:r>
              <w:t>+0.6%</w:t>
            </w:r>
          </w:p>
        </w:tc>
        <w:tc>
          <w:tcPr>
            <w:tcW w:w="889" w:type="pct"/>
            <w:tcBorders>
              <w:left w:val="nil"/>
              <w:bottom w:val="single" w:sz="6" w:space="0" w:color="auto"/>
              <w:right w:val="nil"/>
            </w:tcBorders>
          </w:tcPr>
          <w:p w14:paraId="0A53EDE5" w14:textId="76BD300C" w:rsidR="00291377" w:rsidRDefault="00940448" w:rsidP="006E7F74">
            <w:pPr>
              <w:widowControl w:val="0"/>
              <w:autoSpaceDE w:val="0"/>
              <w:autoSpaceDN w:val="0"/>
              <w:adjustRightInd w:val="0"/>
              <w:spacing w:before="100" w:beforeAutospacing="1" w:after="100" w:afterAutospacing="1"/>
              <w:contextualSpacing/>
              <w:jc w:val="center"/>
            </w:pPr>
            <w:r>
              <w:t>&lt;0.1%</w:t>
            </w:r>
          </w:p>
        </w:tc>
      </w:tr>
      <w:tr w:rsidR="006E7F74" w:rsidRPr="00066FD9" w14:paraId="5E39C824" w14:textId="1D807BF0" w:rsidTr="00C974ED">
        <w:trPr>
          <w:jc w:val="center"/>
        </w:trPr>
        <w:tc>
          <w:tcPr>
            <w:tcW w:w="1442" w:type="pct"/>
            <w:tcBorders>
              <w:top w:val="single" w:sz="6" w:space="0" w:color="auto"/>
              <w:left w:val="nil"/>
              <w:right w:val="nil"/>
            </w:tcBorders>
          </w:tcPr>
          <w:p w14:paraId="21910CBE" w14:textId="53C11A60" w:rsidR="006E7F74" w:rsidRPr="00E74BA3" w:rsidRDefault="006E7F74" w:rsidP="006E7F74">
            <w:pPr>
              <w:widowControl w:val="0"/>
              <w:autoSpaceDE w:val="0"/>
              <w:autoSpaceDN w:val="0"/>
              <w:adjustRightInd w:val="0"/>
              <w:spacing w:before="100" w:beforeAutospacing="1" w:after="100" w:afterAutospacing="1"/>
              <w:contextualSpacing/>
            </w:pPr>
            <w:r>
              <w:t>Change Younger Renters</w:t>
            </w:r>
          </w:p>
        </w:tc>
        <w:tc>
          <w:tcPr>
            <w:tcW w:w="889" w:type="pct"/>
            <w:tcBorders>
              <w:top w:val="single" w:sz="6" w:space="0" w:color="auto"/>
              <w:left w:val="nil"/>
              <w:right w:val="nil"/>
            </w:tcBorders>
          </w:tcPr>
          <w:p w14:paraId="54A29310" w14:textId="7508B9BB" w:rsidR="006E7F74" w:rsidRDefault="006E7F74" w:rsidP="006E7F74">
            <w:pPr>
              <w:widowControl w:val="0"/>
              <w:autoSpaceDE w:val="0"/>
              <w:autoSpaceDN w:val="0"/>
              <w:adjustRightInd w:val="0"/>
              <w:spacing w:before="100" w:beforeAutospacing="1" w:after="100" w:afterAutospacing="1"/>
              <w:contextualSpacing/>
              <w:jc w:val="center"/>
            </w:pPr>
            <w:r>
              <w:t>+5,278</w:t>
            </w:r>
          </w:p>
        </w:tc>
        <w:tc>
          <w:tcPr>
            <w:tcW w:w="889" w:type="pct"/>
            <w:tcBorders>
              <w:top w:val="single" w:sz="6" w:space="0" w:color="auto"/>
              <w:left w:val="nil"/>
              <w:right w:val="nil"/>
            </w:tcBorders>
          </w:tcPr>
          <w:p w14:paraId="7BF0C16F" w14:textId="35643AC1" w:rsidR="006E7F74" w:rsidRDefault="006E7F74" w:rsidP="006E7F74">
            <w:pPr>
              <w:widowControl w:val="0"/>
              <w:autoSpaceDE w:val="0"/>
              <w:autoSpaceDN w:val="0"/>
              <w:adjustRightInd w:val="0"/>
              <w:spacing w:before="100" w:beforeAutospacing="1" w:after="100" w:afterAutospacing="1"/>
              <w:contextualSpacing/>
              <w:jc w:val="center"/>
            </w:pPr>
            <w:r>
              <w:t>+179</w:t>
            </w:r>
          </w:p>
        </w:tc>
        <w:tc>
          <w:tcPr>
            <w:tcW w:w="889" w:type="pct"/>
            <w:tcBorders>
              <w:top w:val="single" w:sz="6" w:space="0" w:color="auto"/>
              <w:left w:val="nil"/>
              <w:right w:val="nil"/>
            </w:tcBorders>
          </w:tcPr>
          <w:p w14:paraId="2A4AB874" w14:textId="52F394A2" w:rsidR="006E7F74" w:rsidRDefault="006E7F74" w:rsidP="006E7F74">
            <w:pPr>
              <w:widowControl w:val="0"/>
              <w:autoSpaceDE w:val="0"/>
              <w:autoSpaceDN w:val="0"/>
              <w:adjustRightInd w:val="0"/>
              <w:spacing w:before="100" w:beforeAutospacing="1" w:after="100" w:afterAutospacing="1"/>
              <w:contextualSpacing/>
              <w:jc w:val="center"/>
            </w:pPr>
            <w:r>
              <w:t>+1,953</w:t>
            </w:r>
          </w:p>
        </w:tc>
        <w:tc>
          <w:tcPr>
            <w:tcW w:w="889" w:type="pct"/>
            <w:tcBorders>
              <w:top w:val="single" w:sz="6" w:space="0" w:color="auto"/>
              <w:left w:val="nil"/>
              <w:right w:val="nil"/>
            </w:tcBorders>
          </w:tcPr>
          <w:p w14:paraId="651F5D7C" w14:textId="6ACA30CB" w:rsidR="006E7F74" w:rsidRDefault="006E7F74" w:rsidP="006E7F74">
            <w:pPr>
              <w:widowControl w:val="0"/>
              <w:autoSpaceDE w:val="0"/>
              <w:autoSpaceDN w:val="0"/>
              <w:adjustRightInd w:val="0"/>
              <w:spacing w:before="100" w:beforeAutospacing="1" w:after="100" w:afterAutospacing="1"/>
              <w:contextualSpacing/>
              <w:jc w:val="center"/>
            </w:pPr>
            <w:r>
              <w:t>+1,058</w:t>
            </w:r>
          </w:p>
        </w:tc>
      </w:tr>
      <w:tr w:rsidR="006E7F74" w:rsidRPr="00066FD9" w14:paraId="26C25CC1" w14:textId="7F5239D5" w:rsidTr="00C974ED">
        <w:trPr>
          <w:jc w:val="center"/>
        </w:trPr>
        <w:tc>
          <w:tcPr>
            <w:tcW w:w="1442" w:type="pct"/>
            <w:tcBorders>
              <w:left w:val="nil"/>
              <w:right w:val="nil"/>
            </w:tcBorders>
          </w:tcPr>
          <w:p w14:paraId="69C000FD" w14:textId="6E339C20" w:rsidR="006E7F74" w:rsidRPr="00E74BA3" w:rsidRDefault="006E7F74" w:rsidP="006E7F74">
            <w:pPr>
              <w:widowControl w:val="0"/>
              <w:autoSpaceDE w:val="0"/>
              <w:autoSpaceDN w:val="0"/>
              <w:adjustRightInd w:val="0"/>
              <w:spacing w:before="100" w:beforeAutospacing="1" w:after="100" w:afterAutospacing="1"/>
              <w:contextualSpacing/>
            </w:pPr>
            <w:r>
              <w:t>(Pct Change)</w:t>
            </w:r>
          </w:p>
        </w:tc>
        <w:tc>
          <w:tcPr>
            <w:tcW w:w="889" w:type="pct"/>
            <w:tcBorders>
              <w:left w:val="nil"/>
              <w:right w:val="nil"/>
            </w:tcBorders>
          </w:tcPr>
          <w:p w14:paraId="05F2EA0B" w14:textId="33ACD59D" w:rsidR="006E7F74" w:rsidRDefault="006E7F74" w:rsidP="006E7F74">
            <w:pPr>
              <w:widowControl w:val="0"/>
              <w:autoSpaceDE w:val="0"/>
              <w:autoSpaceDN w:val="0"/>
              <w:adjustRightInd w:val="0"/>
              <w:spacing w:before="100" w:beforeAutospacing="1" w:after="100" w:afterAutospacing="1"/>
              <w:contextualSpacing/>
              <w:jc w:val="center"/>
            </w:pPr>
            <w:r>
              <w:t>+6.5%</w:t>
            </w:r>
          </w:p>
        </w:tc>
        <w:tc>
          <w:tcPr>
            <w:tcW w:w="889" w:type="pct"/>
            <w:tcBorders>
              <w:left w:val="nil"/>
              <w:right w:val="nil"/>
            </w:tcBorders>
          </w:tcPr>
          <w:p w14:paraId="53094C56" w14:textId="5F933769" w:rsidR="006E7F74" w:rsidRDefault="006E7F74" w:rsidP="006E7F74">
            <w:pPr>
              <w:widowControl w:val="0"/>
              <w:autoSpaceDE w:val="0"/>
              <w:autoSpaceDN w:val="0"/>
              <w:adjustRightInd w:val="0"/>
              <w:spacing w:before="100" w:beforeAutospacing="1" w:after="100" w:afterAutospacing="1"/>
              <w:contextualSpacing/>
              <w:jc w:val="center"/>
            </w:pPr>
            <w:r>
              <w:t>+0.2%</w:t>
            </w:r>
          </w:p>
        </w:tc>
        <w:tc>
          <w:tcPr>
            <w:tcW w:w="889" w:type="pct"/>
            <w:tcBorders>
              <w:left w:val="nil"/>
              <w:right w:val="nil"/>
            </w:tcBorders>
          </w:tcPr>
          <w:p w14:paraId="14C38047" w14:textId="6599E1FE" w:rsidR="006E7F74" w:rsidRDefault="006E7F74" w:rsidP="006E7F74">
            <w:pPr>
              <w:widowControl w:val="0"/>
              <w:autoSpaceDE w:val="0"/>
              <w:autoSpaceDN w:val="0"/>
              <w:adjustRightInd w:val="0"/>
              <w:spacing w:before="100" w:beforeAutospacing="1" w:after="100" w:afterAutospacing="1"/>
              <w:contextualSpacing/>
              <w:jc w:val="center"/>
            </w:pPr>
            <w:r>
              <w:t>+22.1%</w:t>
            </w:r>
          </w:p>
        </w:tc>
        <w:tc>
          <w:tcPr>
            <w:tcW w:w="889" w:type="pct"/>
            <w:tcBorders>
              <w:left w:val="nil"/>
              <w:right w:val="nil"/>
            </w:tcBorders>
          </w:tcPr>
          <w:p w14:paraId="10818DC7" w14:textId="4A4C6718" w:rsidR="006E7F74" w:rsidRDefault="006E7F74" w:rsidP="006E7F74">
            <w:pPr>
              <w:widowControl w:val="0"/>
              <w:autoSpaceDE w:val="0"/>
              <w:autoSpaceDN w:val="0"/>
              <w:adjustRightInd w:val="0"/>
              <w:spacing w:before="100" w:beforeAutospacing="1" w:after="100" w:afterAutospacing="1"/>
              <w:contextualSpacing/>
              <w:jc w:val="center"/>
            </w:pPr>
            <w:r>
              <w:t>+1.4%</w:t>
            </w:r>
          </w:p>
        </w:tc>
      </w:tr>
      <w:tr w:rsidR="00291377" w:rsidRPr="00066FD9" w14:paraId="4DF54B6D" w14:textId="77777777" w:rsidTr="00C974ED">
        <w:trPr>
          <w:jc w:val="center"/>
        </w:trPr>
        <w:tc>
          <w:tcPr>
            <w:tcW w:w="1442" w:type="pct"/>
            <w:tcBorders>
              <w:left w:val="nil"/>
              <w:bottom w:val="single" w:sz="6" w:space="0" w:color="auto"/>
              <w:right w:val="nil"/>
            </w:tcBorders>
          </w:tcPr>
          <w:p w14:paraId="233B988A" w14:textId="327565A6" w:rsidR="00291377" w:rsidRDefault="00940448" w:rsidP="006E7F74">
            <w:pPr>
              <w:widowControl w:val="0"/>
              <w:autoSpaceDE w:val="0"/>
              <w:autoSpaceDN w:val="0"/>
              <w:adjustRightInd w:val="0"/>
              <w:spacing w:before="100" w:beforeAutospacing="1" w:after="100" w:afterAutospacing="1"/>
              <w:contextualSpacing/>
            </w:pPr>
            <w:r>
              <w:t>(As Pct of Co Pop)</w:t>
            </w:r>
          </w:p>
        </w:tc>
        <w:tc>
          <w:tcPr>
            <w:tcW w:w="889" w:type="pct"/>
            <w:tcBorders>
              <w:left w:val="nil"/>
              <w:bottom w:val="single" w:sz="6" w:space="0" w:color="auto"/>
              <w:right w:val="nil"/>
            </w:tcBorders>
          </w:tcPr>
          <w:p w14:paraId="4057BD20" w14:textId="29C62CAC" w:rsidR="00291377" w:rsidRDefault="00940448" w:rsidP="006E7F74">
            <w:pPr>
              <w:widowControl w:val="0"/>
              <w:autoSpaceDE w:val="0"/>
              <w:autoSpaceDN w:val="0"/>
              <w:adjustRightInd w:val="0"/>
              <w:spacing w:before="100" w:beforeAutospacing="1" w:after="100" w:afterAutospacing="1"/>
              <w:contextualSpacing/>
              <w:jc w:val="center"/>
            </w:pPr>
            <w:r>
              <w:t>+2.2%</w:t>
            </w:r>
          </w:p>
        </w:tc>
        <w:tc>
          <w:tcPr>
            <w:tcW w:w="889" w:type="pct"/>
            <w:tcBorders>
              <w:left w:val="nil"/>
              <w:bottom w:val="single" w:sz="6" w:space="0" w:color="auto"/>
              <w:right w:val="nil"/>
            </w:tcBorders>
          </w:tcPr>
          <w:p w14:paraId="00FF4A0C" w14:textId="3A37357F" w:rsidR="00291377" w:rsidRDefault="00940448" w:rsidP="006E7F74">
            <w:pPr>
              <w:widowControl w:val="0"/>
              <w:autoSpaceDE w:val="0"/>
              <w:autoSpaceDN w:val="0"/>
              <w:adjustRightInd w:val="0"/>
              <w:spacing w:before="100" w:beforeAutospacing="1" w:after="100" w:afterAutospacing="1"/>
              <w:contextualSpacing/>
              <w:jc w:val="center"/>
            </w:pPr>
            <w:r>
              <w:t>&lt;0.1%</w:t>
            </w:r>
          </w:p>
        </w:tc>
        <w:tc>
          <w:tcPr>
            <w:tcW w:w="889" w:type="pct"/>
            <w:tcBorders>
              <w:left w:val="nil"/>
              <w:bottom w:val="single" w:sz="6" w:space="0" w:color="auto"/>
              <w:right w:val="nil"/>
            </w:tcBorders>
          </w:tcPr>
          <w:p w14:paraId="5CC86488" w14:textId="0F6EC643" w:rsidR="00291377" w:rsidRDefault="00940448" w:rsidP="006E7F74">
            <w:pPr>
              <w:widowControl w:val="0"/>
              <w:autoSpaceDE w:val="0"/>
              <w:autoSpaceDN w:val="0"/>
              <w:adjustRightInd w:val="0"/>
              <w:spacing w:before="100" w:beforeAutospacing="1" w:after="100" w:afterAutospacing="1"/>
              <w:contextualSpacing/>
              <w:jc w:val="center"/>
            </w:pPr>
            <w:r>
              <w:t>+8.2%</w:t>
            </w:r>
          </w:p>
        </w:tc>
        <w:tc>
          <w:tcPr>
            <w:tcW w:w="889" w:type="pct"/>
            <w:tcBorders>
              <w:left w:val="nil"/>
              <w:bottom w:val="single" w:sz="6" w:space="0" w:color="auto"/>
              <w:right w:val="nil"/>
            </w:tcBorders>
          </w:tcPr>
          <w:p w14:paraId="0EC59BC3" w14:textId="52E940E8" w:rsidR="00291377" w:rsidRDefault="00940448" w:rsidP="006E7F74">
            <w:pPr>
              <w:widowControl w:val="0"/>
              <w:autoSpaceDE w:val="0"/>
              <w:autoSpaceDN w:val="0"/>
              <w:adjustRightInd w:val="0"/>
              <w:spacing w:before="100" w:beforeAutospacing="1" w:after="100" w:afterAutospacing="1"/>
              <w:contextualSpacing/>
              <w:jc w:val="center"/>
            </w:pPr>
            <w:r>
              <w:t>+0.5%</w:t>
            </w:r>
          </w:p>
        </w:tc>
      </w:tr>
    </w:tbl>
    <w:p w14:paraId="729CC732" w14:textId="77777777" w:rsidR="00A0377A" w:rsidRDefault="00A0377A" w:rsidP="00AA5C6B">
      <w:pPr>
        <w:spacing w:before="0" w:after="0"/>
        <w:contextualSpacing/>
        <w:rPr>
          <w:b/>
        </w:rPr>
      </w:pPr>
    </w:p>
    <w:p w14:paraId="635065F5" w14:textId="77777777" w:rsidR="00AA5C6B" w:rsidRDefault="00AA5C6B" w:rsidP="00AA5C6B">
      <w:pPr>
        <w:spacing w:before="0" w:after="0"/>
        <w:contextualSpacing/>
        <w:rPr>
          <w:b/>
        </w:rPr>
      </w:pPr>
    </w:p>
    <w:p w14:paraId="1E6454CD" w14:textId="77777777" w:rsidR="00AA5C6B" w:rsidRDefault="00AA5C6B" w:rsidP="00AA5C6B">
      <w:pPr>
        <w:spacing w:before="0" w:after="0"/>
        <w:contextualSpacing/>
        <w:rPr>
          <w:b/>
        </w:rPr>
      </w:pPr>
      <w:r>
        <w:rPr>
          <w:b/>
        </w:rPr>
        <w:br w:type="page"/>
      </w:r>
    </w:p>
    <w:p w14:paraId="0CBED4DE" w14:textId="6822F4C3" w:rsidR="009F5908" w:rsidRPr="0075584F" w:rsidRDefault="00381D09" w:rsidP="00381D09">
      <w:r w:rsidRPr="0075584F">
        <w:rPr>
          <w:b/>
        </w:rPr>
        <w:lastRenderedPageBreak/>
        <w:t>Figure 1</w:t>
      </w:r>
      <w:r w:rsidR="00C10FA6">
        <w:rPr>
          <w:b/>
        </w:rPr>
        <w:t xml:space="preserve">.  </w:t>
      </w:r>
      <w:r w:rsidR="00873F0E">
        <w:rPr>
          <w:b/>
        </w:rPr>
        <w:t>Population-Weighted Treatment over Time</w:t>
      </w:r>
    </w:p>
    <w:p w14:paraId="61684134" w14:textId="3C857DA8" w:rsidR="008F3225" w:rsidRPr="0075584F" w:rsidRDefault="00873F0E" w:rsidP="00381D09">
      <w:pPr>
        <w:rPr>
          <w:b/>
        </w:rPr>
      </w:pPr>
      <w:r>
        <w:rPr>
          <w:b/>
          <w:noProof/>
        </w:rPr>
        <w:drawing>
          <wp:inline distT="0" distB="0" distL="0" distR="0" wp14:anchorId="683275F0" wp14:editId="68CE4162">
            <wp:extent cx="5943600" cy="4319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tment over Time.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319270"/>
                    </a:xfrm>
                    <a:prstGeom prst="rect">
                      <a:avLst/>
                    </a:prstGeom>
                  </pic:spPr>
                </pic:pic>
              </a:graphicData>
            </a:graphic>
          </wp:inline>
        </w:drawing>
      </w:r>
    </w:p>
    <w:p w14:paraId="6E004A3B" w14:textId="77777777" w:rsidR="00BB4D6A" w:rsidRDefault="00BB4D6A" w:rsidP="00873F0E">
      <w:pPr>
        <w:ind w:right="720"/>
      </w:pPr>
    </w:p>
    <w:sectPr w:rsidR="00BB4D6A" w:rsidSect="000B46D7">
      <w:footnotePr>
        <w:numRestart w:val="eachSect"/>
      </w:footnotePr>
      <w:pgSz w:w="12240" w:h="15840"/>
      <w:pgMar w:top="1440" w:right="1440" w:bottom="1440" w:left="1440" w:header="720" w:footer="720" w:gutter="0"/>
      <w:paperSrc w:first="1" w:other="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4D454" w14:textId="77777777" w:rsidR="00CA1404" w:rsidRDefault="00CA1404" w:rsidP="00D41D9D">
      <w:r>
        <w:separator/>
      </w:r>
    </w:p>
  </w:endnote>
  <w:endnote w:type="continuationSeparator" w:id="0">
    <w:p w14:paraId="7FCF1128" w14:textId="77777777" w:rsidR="00CA1404" w:rsidRDefault="00CA1404" w:rsidP="00D4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24771"/>
      <w:docPartObj>
        <w:docPartGallery w:val="Page Numbers (Bottom of Page)"/>
        <w:docPartUnique/>
      </w:docPartObj>
    </w:sdtPr>
    <w:sdtEndPr>
      <w:rPr>
        <w:noProof/>
      </w:rPr>
    </w:sdtEndPr>
    <w:sdtContent>
      <w:p w14:paraId="581A60DA" w14:textId="129114D5" w:rsidR="00E26EA4" w:rsidRDefault="00E26EA4">
        <w:pPr>
          <w:pStyle w:val="Footer"/>
          <w:jc w:val="center"/>
        </w:pPr>
        <w:r>
          <w:t>-</w:t>
        </w:r>
        <w:r>
          <w:fldChar w:fldCharType="begin"/>
        </w:r>
        <w:r>
          <w:instrText xml:space="preserve"> PAGE   \* MERGEFORMAT </w:instrText>
        </w:r>
        <w:r>
          <w:fldChar w:fldCharType="separate"/>
        </w:r>
        <w:r w:rsidR="00BF0B55">
          <w:rPr>
            <w:noProof/>
          </w:rPr>
          <w:t>29</w:t>
        </w:r>
        <w:r>
          <w:rPr>
            <w:noProof/>
          </w:rPr>
          <w:fldChar w:fldCharType="end"/>
        </w:r>
        <w:r>
          <w:rPr>
            <w:noProof/>
          </w:rPr>
          <w:t>-</w:t>
        </w:r>
      </w:p>
    </w:sdtContent>
  </w:sdt>
  <w:p w14:paraId="07026377" w14:textId="77777777" w:rsidR="00E26EA4" w:rsidRDefault="00E2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7410B" w14:textId="77777777" w:rsidR="00CA1404" w:rsidRDefault="00CA1404" w:rsidP="00D41D9D">
      <w:r>
        <w:separator/>
      </w:r>
    </w:p>
  </w:footnote>
  <w:footnote w:type="continuationSeparator" w:id="0">
    <w:p w14:paraId="1A7F7E4A" w14:textId="77777777" w:rsidR="00CA1404" w:rsidRDefault="00CA1404" w:rsidP="00D41D9D">
      <w:r>
        <w:continuationSeparator/>
      </w:r>
    </w:p>
  </w:footnote>
  <w:footnote w:id="1">
    <w:p w14:paraId="38E84BEB" w14:textId="3A18B749" w:rsidR="00E26EA4" w:rsidRPr="00285DDA" w:rsidRDefault="00E26EA4" w:rsidP="00285DDA">
      <w:pPr>
        <w:pStyle w:val="FootnoteText"/>
        <w:spacing w:before="0" w:after="120"/>
        <w:rPr>
          <w:sz w:val="22"/>
          <w:szCs w:val="22"/>
        </w:rPr>
      </w:pPr>
      <w:r w:rsidRPr="00285DDA">
        <w:rPr>
          <w:rStyle w:val="FootnoteReference"/>
          <w:sz w:val="22"/>
          <w:szCs w:val="22"/>
        </w:rPr>
        <w:footnoteRef/>
      </w:r>
      <w:r w:rsidRPr="00285DDA">
        <w:rPr>
          <w:sz w:val="22"/>
          <w:szCs w:val="22"/>
        </w:rPr>
        <w:t xml:space="preserve"> Counties are defined as urban if their USDA rural-urban continuum code was 1-3 in 1974.</w:t>
      </w:r>
    </w:p>
  </w:footnote>
  <w:footnote w:id="2">
    <w:p w14:paraId="1703025B" w14:textId="7928425B" w:rsidR="00E26EA4" w:rsidRPr="00285DDA" w:rsidRDefault="00E26EA4" w:rsidP="00285DDA">
      <w:pPr>
        <w:pStyle w:val="FootnoteText"/>
        <w:spacing w:before="0" w:after="120"/>
        <w:rPr>
          <w:sz w:val="22"/>
          <w:szCs w:val="22"/>
        </w:rPr>
      </w:pPr>
      <w:r w:rsidRPr="00285DDA">
        <w:rPr>
          <w:rStyle w:val="FootnoteReference"/>
          <w:sz w:val="22"/>
          <w:szCs w:val="22"/>
        </w:rPr>
        <w:footnoteRef/>
      </w:r>
      <w:r w:rsidRPr="00285DDA">
        <w:rPr>
          <w:sz w:val="22"/>
          <w:szCs w:val="22"/>
        </w:rPr>
        <w:t xml:space="preserve"> A summary and discussion of the data used here has previously been published in Banzhaf, Mickey, and Patrick (2016), from which this summary draws heavily.  The Georgia Property Tax Database is housed at Georgia State University's Fiscal Research Center.  For documentation and information about obtaining the data, see http://frc.gsu.edu/data-collections/.</w:t>
      </w:r>
    </w:p>
  </w:footnote>
  <w:footnote w:id="3">
    <w:p w14:paraId="75998CEC" w14:textId="77777777" w:rsidR="00E26EA4" w:rsidRPr="00285DDA" w:rsidRDefault="00E26EA4" w:rsidP="00285DDA">
      <w:pPr>
        <w:pStyle w:val="FootnoteText"/>
        <w:spacing w:before="0" w:after="120"/>
        <w:rPr>
          <w:sz w:val="22"/>
          <w:szCs w:val="22"/>
        </w:rPr>
      </w:pPr>
      <w:r w:rsidRPr="00285DDA">
        <w:rPr>
          <w:rStyle w:val="FootnoteReference"/>
          <w:sz w:val="22"/>
          <w:szCs w:val="22"/>
        </w:rPr>
        <w:footnoteRef/>
      </w:r>
      <w:r w:rsidRPr="00285DDA">
        <w:rPr>
          <w:sz w:val="22"/>
          <w:szCs w:val="22"/>
        </w:rPr>
        <w:t xml:space="preserve"> Although the first recorded property tax exemption in the state is a state level exemption in 1938, we confirmed the absence of property tax exemption laws during the period from 1913-1938.</w:t>
      </w:r>
    </w:p>
  </w:footnote>
  <w:footnote w:id="4">
    <w:p w14:paraId="3A8DD9D2" w14:textId="77777777" w:rsidR="00E26EA4" w:rsidRPr="000111BD" w:rsidRDefault="00E26EA4" w:rsidP="00BF1072">
      <w:pPr>
        <w:pStyle w:val="FootnoteText"/>
        <w:spacing w:before="0" w:after="120"/>
        <w:rPr>
          <w:sz w:val="22"/>
        </w:rPr>
      </w:pPr>
      <w:r w:rsidRPr="000111BD">
        <w:rPr>
          <w:rStyle w:val="FootnoteReference"/>
          <w:sz w:val="22"/>
        </w:rPr>
        <w:footnoteRef/>
      </w:r>
      <w:r w:rsidRPr="000111BD">
        <w:rPr>
          <w:sz w:val="22"/>
        </w:rPr>
        <w:t xml:space="preserve"> One potential concern is that households do not actually take the steps necessary to realize their exemptions.  As discussed in Banzhaf, Mickey, and Patrick (2016), our analysis of the take-up rate in the Georgia county offering the most generous exemption indicates that approximately 96% of households get their exemption.  However, we acknowledge the potential for error in that calculation as well as the possibility that take-up rates are a function of the generosity of the benefit.  We believe take-up rates between 90%-100% to be reasonable, which is consistent with a 1990's study by the AARP that found take-up rates of approximately 90% for homestead exemptions (Baer 1990).</w:t>
      </w:r>
    </w:p>
  </w:footnote>
  <w:footnote w:id="5">
    <w:p w14:paraId="6EEA3117" w14:textId="77777777" w:rsidR="00E26EA4" w:rsidRPr="00AE4EAB" w:rsidRDefault="00E26EA4" w:rsidP="00BF1072">
      <w:pPr>
        <w:pStyle w:val="FootnoteText"/>
        <w:spacing w:before="0" w:after="120"/>
        <w:rPr>
          <w:sz w:val="22"/>
          <w:szCs w:val="22"/>
        </w:rPr>
      </w:pPr>
      <w:r w:rsidRPr="00AE4EAB">
        <w:rPr>
          <w:rStyle w:val="FootnoteReference"/>
          <w:sz w:val="22"/>
          <w:szCs w:val="22"/>
        </w:rPr>
        <w:footnoteRef/>
      </w:r>
      <w:r w:rsidRPr="00AE4EAB">
        <w:rPr>
          <w:sz w:val="22"/>
          <w:szCs w:val="22"/>
        </w:rPr>
        <w:t xml:space="preserve"> O.C.G.A. 48-5-7 set the assessment ratio at 40% for all Georgia tax jurisdictions.  However, several jurisdictions were grandfathered in at ratios other than 40%.</w:t>
      </w:r>
    </w:p>
  </w:footnote>
  <w:footnote w:id="6">
    <w:p w14:paraId="67C88F0F" w14:textId="0B6B6795" w:rsidR="00E26EA4" w:rsidRDefault="00E26EA4" w:rsidP="00AE4EAB">
      <w:pPr>
        <w:spacing w:before="0" w:after="120"/>
      </w:pPr>
      <w:r w:rsidRPr="00AE4EAB">
        <w:rPr>
          <w:rStyle w:val="FootnoteReference"/>
          <w:sz w:val="22"/>
          <w:szCs w:val="22"/>
        </w:rPr>
        <w:footnoteRef/>
      </w:r>
      <w:r w:rsidRPr="00AE4EAB">
        <w:rPr>
          <w:sz w:val="22"/>
          <w:szCs w:val="22"/>
        </w:rPr>
        <w:t xml:space="preserve"> The Census changed the universe over which some data were collected as well as the data points collected over the sample period.  We used additional data whenever available to inc</w:t>
      </w:r>
      <w:r>
        <w:rPr>
          <w:sz w:val="22"/>
          <w:szCs w:val="22"/>
        </w:rPr>
        <w:t>rease comparability over time.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7333D"/>
    <w:multiLevelType w:val="multilevel"/>
    <w:tmpl w:val="D7323C56"/>
    <w:lvl w:ilvl="0">
      <w:start w:val="1"/>
      <w:numFmt w:val="decimal"/>
      <w:pStyle w:val="OurHeading1"/>
      <w:lvlText w:val="%1."/>
      <w:lvlJc w:val="left"/>
      <w:pPr>
        <w:ind w:left="45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28DE1988"/>
    <w:multiLevelType w:val="hybridMultilevel"/>
    <w:tmpl w:val="BA829A7A"/>
    <w:lvl w:ilvl="0" w:tplc="BB540C9A">
      <w:start w:val="1"/>
      <w:numFmt w:val="decimal"/>
      <w:lvlText w:val="(%1)"/>
      <w:lvlJc w:val="left"/>
      <w:pPr>
        <w:ind w:left="360" w:hanging="360"/>
      </w:pPr>
      <w:rPr>
        <w:rFonts w:asciiTheme="minorHAnsi" w:eastAsiaTheme="minorEastAsia" w:hAnsiTheme="minorHAnsi" w:cstheme="minorBidi"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0737D8"/>
    <w:multiLevelType w:val="hybridMultilevel"/>
    <w:tmpl w:val="D9343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drawingGridHorizontalSpacing w:val="110"/>
  <w:displayHorizontalDrawingGridEvery w:val="2"/>
  <w:displayVerticalDrawingGridEvery w:val="2"/>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696"/>
    <w:rsid w:val="00002041"/>
    <w:rsid w:val="00006E38"/>
    <w:rsid w:val="000111BD"/>
    <w:rsid w:val="00023567"/>
    <w:rsid w:val="00025867"/>
    <w:rsid w:val="00027E4A"/>
    <w:rsid w:val="00036C34"/>
    <w:rsid w:val="00041001"/>
    <w:rsid w:val="00042FDC"/>
    <w:rsid w:val="000449A2"/>
    <w:rsid w:val="00045337"/>
    <w:rsid w:val="00046B95"/>
    <w:rsid w:val="0005359C"/>
    <w:rsid w:val="00054530"/>
    <w:rsid w:val="000577C6"/>
    <w:rsid w:val="00066FD9"/>
    <w:rsid w:val="00073E21"/>
    <w:rsid w:val="00084534"/>
    <w:rsid w:val="00086B08"/>
    <w:rsid w:val="000949A5"/>
    <w:rsid w:val="000A3F54"/>
    <w:rsid w:val="000A4CCE"/>
    <w:rsid w:val="000A73CC"/>
    <w:rsid w:val="000B46D7"/>
    <w:rsid w:val="000D00B4"/>
    <w:rsid w:val="000D0E12"/>
    <w:rsid w:val="000D3913"/>
    <w:rsid w:val="000E2564"/>
    <w:rsid w:val="000E6F74"/>
    <w:rsid w:val="000F0FDE"/>
    <w:rsid w:val="000F5B55"/>
    <w:rsid w:val="001009CF"/>
    <w:rsid w:val="001023DE"/>
    <w:rsid w:val="001051A8"/>
    <w:rsid w:val="0011222B"/>
    <w:rsid w:val="0012258D"/>
    <w:rsid w:val="0012399D"/>
    <w:rsid w:val="00124B45"/>
    <w:rsid w:val="00131937"/>
    <w:rsid w:val="00132BF0"/>
    <w:rsid w:val="00140FEF"/>
    <w:rsid w:val="00144E21"/>
    <w:rsid w:val="00147273"/>
    <w:rsid w:val="00155712"/>
    <w:rsid w:val="001610B4"/>
    <w:rsid w:val="00171007"/>
    <w:rsid w:val="001815EF"/>
    <w:rsid w:val="00187723"/>
    <w:rsid w:val="00190EC3"/>
    <w:rsid w:val="00197578"/>
    <w:rsid w:val="001A6A23"/>
    <w:rsid w:val="001A6E14"/>
    <w:rsid w:val="001B0451"/>
    <w:rsid w:val="001B453A"/>
    <w:rsid w:val="001B7530"/>
    <w:rsid w:val="001B7F1F"/>
    <w:rsid w:val="001C706D"/>
    <w:rsid w:val="001D1EDF"/>
    <w:rsid w:val="001D42F7"/>
    <w:rsid w:val="001E3560"/>
    <w:rsid w:val="001E4B8B"/>
    <w:rsid w:val="001E53C4"/>
    <w:rsid w:val="001E66EE"/>
    <w:rsid w:val="001F21DB"/>
    <w:rsid w:val="00203338"/>
    <w:rsid w:val="0020568A"/>
    <w:rsid w:val="00206978"/>
    <w:rsid w:val="002112D0"/>
    <w:rsid w:val="002114F4"/>
    <w:rsid w:val="0021163D"/>
    <w:rsid w:val="002124AC"/>
    <w:rsid w:val="0021586D"/>
    <w:rsid w:val="00231618"/>
    <w:rsid w:val="00236388"/>
    <w:rsid w:val="002445AC"/>
    <w:rsid w:val="002520F1"/>
    <w:rsid w:val="002525AE"/>
    <w:rsid w:val="00254B39"/>
    <w:rsid w:val="00254BEC"/>
    <w:rsid w:val="00254C5A"/>
    <w:rsid w:val="00255766"/>
    <w:rsid w:val="00257D59"/>
    <w:rsid w:val="0026102F"/>
    <w:rsid w:val="00263C74"/>
    <w:rsid w:val="002761C6"/>
    <w:rsid w:val="0028192A"/>
    <w:rsid w:val="00282401"/>
    <w:rsid w:val="00285DDA"/>
    <w:rsid w:val="00285DF6"/>
    <w:rsid w:val="00291377"/>
    <w:rsid w:val="00297B37"/>
    <w:rsid w:val="002A01F0"/>
    <w:rsid w:val="002A2F9B"/>
    <w:rsid w:val="002A68AD"/>
    <w:rsid w:val="002A7B69"/>
    <w:rsid w:val="002A7DDA"/>
    <w:rsid w:val="002B6346"/>
    <w:rsid w:val="002C13FA"/>
    <w:rsid w:val="002D6530"/>
    <w:rsid w:val="002E0651"/>
    <w:rsid w:val="002E0D0D"/>
    <w:rsid w:val="002E35AD"/>
    <w:rsid w:val="002E6B21"/>
    <w:rsid w:val="002F4BED"/>
    <w:rsid w:val="002F5A87"/>
    <w:rsid w:val="00300263"/>
    <w:rsid w:val="00302081"/>
    <w:rsid w:val="00303122"/>
    <w:rsid w:val="003067B3"/>
    <w:rsid w:val="00306AB3"/>
    <w:rsid w:val="003073E6"/>
    <w:rsid w:val="00307FD5"/>
    <w:rsid w:val="003306DC"/>
    <w:rsid w:val="00337316"/>
    <w:rsid w:val="00342BD5"/>
    <w:rsid w:val="00346BEC"/>
    <w:rsid w:val="003470B4"/>
    <w:rsid w:val="00351CE3"/>
    <w:rsid w:val="00355008"/>
    <w:rsid w:val="003667D8"/>
    <w:rsid w:val="00372F6F"/>
    <w:rsid w:val="00381D09"/>
    <w:rsid w:val="00385D8F"/>
    <w:rsid w:val="0038606A"/>
    <w:rsid w:val="00387582"/>
    <w:rsid w:val="003A06E5"/>
    <w:rsid w:val="003A38E7"/>
    <w:rsid w:val="003A5AD4"/>
    <w:rsid w:val="003B6263"/>
    <w:rsid w:val="003C2759"/>
    <w:rsid w:val="003D0DF0"/>
    <w:rsid w:val="003E365E"/>
    <w:rsid w:val="003E7372"/>
    <w:rsid w:val="003F2D24"/>
    <w:rsid w:val="003F3F38"/>
    <w:rsid w:val="003F63D1"/>
    <w:rsid w:val="003F7E56"/>
    <w:rsid w:val="004005CD"/>
    <w:rsid w:val="00402F78"/>
    <w:rsid w:val="004037DE"/>
    <w:rsid w:val="0040391A"/>
    <w:rsid w:val="00406570"/>
    <w:rsid w:val="00407762"/>
    <w:rsid w:val="00414D40"/>
    <w:rsid w:val="00420CA2"/>
    <w:rsid w:val="00426022"/>
    <w:rsid w:val="004367B6"/>
    <w:rsid w:val="00443881"/>
    <w:rsid w:val="004532DF"/>
    <w:rsid w:val="00453F81"/>
    <w:rsid w:val="00460246"/>
    <w:rsid w:val="004668EC"/>
    <w:rsid w:val="004675FD"/>
    <w:rsid w:val="00477435"/>
    <w:rsid w:val="00484577"/>
    <w:rsid w:val="00484672"/>
    <w:rsid w:val="00486757"/>
    <w:rsid w:val="00486F18"/>
    <w:rsid w:val="00492C57"/>
    <w:rsid w:val="00493E42"/>
    <w:rsid w:val="00497C75"/>
    <w:rsid w:val="004A1402"/>
    <w:rsid w:val="004A5C87"/>
    <w:rsid w:val="004B09F3"/>
    <w:rsid w:val="004B225A"/>
    <w:rsid w:val="004B3AE7"/>
    <w:rsid w:val="004B6EDA"/>
    <w:rsid w:val="004C1FF5"/>
    <w:rsid w:val="004D0FC8"/>
    <w:rsid w:val="004D7965"/>
    <w:rsid w:val="004E0FA9"/>
    <w:rsid w:val="004E1993"/>
    <w:rsid w:val="004E365F"/>
    <w:rsid w:val="004F61C9"/>
    <w:rsid w:val="005033B3"/>
    <w:rsid w:val="00505C66"/>
    <w:rsid w:val="00507A36"/>
    <w:rsid w:val="00513A60"/>
    <w:rsid w:val="0051496A"/>
    <w:rsid w:val="00516CE7"/>
    <w:rsid w:val="005212D1"/>
    <w:rsid w:val="00522232"/>
    <w:rsid w:val="00522896"/>
    <w:rsid w:val="005313E5"/>
    <w:rsid w:val="00535415"/>
    <w:rsid w:val="00537561"/>
    <w:rsid w:val="005376FA"/>
    <w:rsid w:val="00541D3E"/>
    <w:rsid w:val="00544F77"/>
    <w:rsid w:val="00547180"/>
    <w:rsid w:val="005500B0"/>
    <w:rsid w:val="0055094D"/>
    <w:rsid w:val="00563E72"/>
    <w:rsid w:val="0056435C"/>
    <w:rsid w:val="005655C7"/>
    <w:rsid w:val="0056756D"/>
    <w:rsid w:val="00572F86"/>
    <w:rsid w:val="00577C06"/>
    <w:rsid w:val="00584635"/>
    <w:rsid w:val="00590B84"/>
    <w:rsid w:val="005B0EB5"/>
    <w:rsid w:val="005B34A8"/>
    <w:rsid w:val="005C37E5"/>
    <w:rsid w:val="005D0AD0"/>
    <w:rsid w:val="005D1FEB"/>
    <w:rsid w:val="005E1DFF"/>
    <w:rsid w:val="005E65EC"/>
    <w:rsid w:val="005E6696"/>
    <w:rsid w:val="005E710D"/>
    <w:rsid w:val="005F3A84"/>
    <w:rsid w:val="0060219F"/>
    <w:rsid w:val="0060553E"/>
    <w:rsid w:val="00615B23"/>
    <w:rsid w:val="00615C4F"/>
    <w:rsid w:val="00620298"/>
    <w:rsid w:val="00622A5C"/>
    <w:rsid w:val="00624C39"/>
    <w:rsid w:val="006319F4"/>
    <w:rsid w:val="00637ACE"/>
    <w:rsid w:val="00656108"/>
    <w:rsid w:val="00661FAB"/>
    <w:rsid w:val="006644BA"/>
    <w:rsid w:val="00667EC7"/>
    <w:rsid w:val="00685921"/>
    <w:rsid w:val="00687A31"/>
    <w:rsid w:val="00691B36"/>
    <w:rsid w:val="006A0410"/>
    <w:rsid w:val="006A2BB6"/>
    <w:rsid w:val="006B3995"/>
    <w:rsid w:val="006C213E"/>
    <w:rsid w:val="006C2C14"/>
    <w:rsid w:val="006C6C7A"/>
    <w:rsid w:val="006D0533"/>
    <w:rsid w:val="006D0CD7"/>
    <w:rsid w:val="006D3BBD"/>
    <w:rsid w:val="006E7833"/>
    <w:rsid w:val="006E7F74"/>
    <w:rsid w:val="006F32CA"/>
    <w:rsid w:val="00704AB0"/>
    <w:rsid w:val="00704AC4"/>
    <w:rsid w:val="00706126"/>
    <w:rsid w:val="00732E0E"/>
    <w:rsid w:val="00737F7F"/>
    <w:rsid w:val="00744819"/>
    <w:rsid w:val="00745AAD"/>
    <w:rsid w:val="00752B6F"/>
    <w:rsid w:val="0075496D"/>
    <w:rsid w:val="0075584F"/>
    <w:rsid w:val="00767A26"/>
    <w:rsid w:val="00767B92"/>
    <w:rsid w:val="00771A49"/>
    <w:rsid w:val="007815AC"/>
    <w:rsid w:val="00783C9C"/>
    <w:rsid w:val="0078520E"/>
    <w:rsid w:val="007937D2"/>
    <w:rsid w:val="00797A24"/>
    <w:rsid w:val="007A2C26"/>
    <w:rsid w:val="007B7120"/>
    <w:rsid w:val="007C21F3"/>
    <w:rsid w:val="007C3086"/>
    <w:rsid w:val="007D0C35"/>
    <w:rsid w:val="007D0E92"/>
    <w:rsid w:val="007D10B1"/>
    <w:rsid w:val="007F06EB"/>
    <w:rsid w:val="007F3719"/>
    <w:rsid w:val="00805612"/>
    <w:rsid w:val="0080676A"/>
    <w:rsid w:val="008113E6"/>
    <w:rsid w:val="008137F8"/>
    <w:rsid w:val="00815F99"/>
    <w:rsid w:val="00836412"/>
    <w:rsid w:val="00854A54"/>
    <w:rsid w:val="008614B7"/>
    <w:rsid w:val="008720D9"/>
    <w:rsid w:val="00873F0E"/>
    <w:rsid w:val="0088086E"/>
    <w:rsid w:val="008922F6"/>
    <w:rsid w:val="008925AF"/>
    <w:rsid w:val="008925B8"/>
    <w:rsid w:val="0089539D"/>
    <w:rsid w:val="008A08C9"/>
    <w:rsid w:val="008A2109"/>
    <w:rsid w:val="008A3D0E"/>
    <w:rsid w:val="008A4D95"/>
    <w:rsid w:val="008A7D43"/>
    <w:rsid w:val="008B0C2A"/>
    <w:rsid w:val="008B1522"/>
    <w:rsid w:val="008B271E"/>
    <w:rsid w:val="008B4734"/>
    <w:rsid w:val="008C52FD"/>
    <w:rsid w:val="008D0110"/>
    <w:rsid w:val="008D2A24"/>
    <w:rsid w:val="008D53F6"/>
    <w:rsid w:val="008E317D"/>
    <w:rsid w:val="008E6530"/>
    <w:rsid w:val="008E6E47"/>
    <w:rsid w:val="008E7702"/>
    <w:rsid w:val="008F283B"/>
    <w:rsid w:val="008F3225"/>
    <w:rsid w:val="008F3C88"/>
    <w:rsid w:val="008F4241"/>
    <w:rsid w:val="0090496D"/>
    <w:rsid w:val="00905192"/>
    <w:rsid w:val="0090525B"/>
    <w:rsid w:val="009127B0"/>
    <w:rsid w:val="009151E6"/>
    <w:rsid w:val="00920B47"/>
    <w:rsid w:val="00923A3F"/>
    <w:rsid w:val="00930DC1"/>
    <w:rsid w:val="0093112F"/>
    <w:rsid w:val="00935F1C"/>
    <w:rsid w:val="00940448"/>
    <w:rsid w:val="009502A3"/>
    <w:rsid w:val="00951801"/>
    <w:rsid w:val="009520EC"/>
    <w:rsid w:val="00953FA9"/>
    <w:rsid w:val="00955706"/>
    <w:rsid w:val="009778DE"/>
    <w:rsid w:val="0098170F"/>
    <w:rsid w:val="009909BE"/>
    <w:rsid w:val="00995BF0"/>
    <w:rsid w:val="009974E4"/>
    <w:rsid w:val="009A6DF2"/>
    <w:rsid w:val="009B5997"/>
    <w:rsid w:val="009C04F8"/>
    <w:rsid w:val="009C320B"/>
    <w:rsid w:val="009C5223"/>
    <w:rsid w:val="009D0FD2"/>
    <w:rsid w:val="009D23BC"/>
    <w:rsid w:val="009D3241"/>
    <w:rsid w:val="009E2EC5"/>
    <w:rsid w:val="009E6FAB"/>
    <w:rsid w:val="009E7257"/>
    <w:rsid w:val="009F0EEF"/>
    <w:rsid w:val="009F4336"/>
    <w:rsid w:val="009F5908"/>
    <w:rsid w:val="00A0377A"/>
    <w:rsid w:val="00A039E1"/>
    <w:rsid w:val="00A06B89"/>
    <w:rsid w:val="00A07D65"/>
    <w:rsid w:val="00A07E69"/>
    <w:rsid w:val="00A1389F"/>
    <w:rsid w:val="00A148F9"/>
    <w:rsid w:val="00A15C09"/>
    <w:rsid w:val="00A15C72"/>
    <w:rsid w:val="00A16D72"/>
    <w:rsid w:val="00A16DA2"/>
    <w:rsid w:val="00A17553"/>
    <w:rsid w:val="00A177B5"/>
    <w:rsid w:val="00A23D86"/>
    <w:rsid w:val="00A256BA"/>
    <w:rsid w:val="00A26484"/>
    <w:rsid w:val="00A362CA"/>
    <w:rsid w:val="00A3675B"/>
    <w:rsid w:val="00A369E9"/>
    <w:rsid w:val="00A623E6"/>
    <w:rsid w:val="00A7696D"/>
    <w:rsid w:val="00A814AF"/>
    <w:rsid w:val="00A81E16"/>
    <w:rsid w:val="00A860DF"/>
    <w:rsid w:val="00A9446C"/>
    <w:rsid w:val="00A95EA5"/>
    <w:rsid w:val="00A963EF"/>
    <w:rsid w:val="00AA55FC"/>
    <w:rsid w:val="00AA5C6B"/>
    <w:rsid w:val="00AB3B3C"/>
    <w:rsid w:val="00AC1B8E"/>
    <w:rsid w:val="00AC6A3D"/>
    <w:rsid w:val="00AD122D"/>
    <w:rsid w:val="00AD55F4"/>
    <w:rsid w:val="00AE4167"/>
    <w:rsid w:val="00AE4EAB"/>
    <w:rsid w:val="00AF4249"/>
    <w:rsid w:val="00AF53D9"/>
    <w:rsid w:val="00AF6AD8"/>
    <w:rsid w:val="00AF72E7"/>
    <w:rsid w:val="00B01857"/>
    <w:rsid w:val="00B103E3"/>
    <w:rsid w:val="00B1479D"/>
    <w:rsid w:val="00B20C88"/>
    <w:rsid w:val="00B219A9"/>
    <w:rsid w:val="00B23F6A"/>
    <w:rsid w:val="00B26C5F"/>
    <w:rsid w:val="00B30876"/>
    <w:rsid w:val="00B42828"/>
    <w:rsid w:val="00B55CF5"/>
    <w:rsid w:val="00B62831"/>
    <w:rsid w:val="00B84CF3"/>
    <w:rsid w:val="00B85B14"/>
    <w:rsid w:val="00B87031"/>
    <w:rsid w:val="00B87628"/>
    <w:rsid w:val="00B9753F"/>
    <w:rsid w:val="00B9774F"/>
    <w:rsid w:val="00BA07E9"/>
    <w:rsid w:val="00BA4EB7"/>
    <w:rsid w:val="00BB0F68"/>
    <w:rsid w:val="00BB463C"/>
    <w:rsid w:val="00BB4D6A"/>
    <w:rsid w:val="00BB55D2"/>
    <w:rsid w:val="00BB6F12"/>
    <w:rsid w:val="00BC041F"/>
    <w:rsid w:val="00BC1359"/>
    <w:rsid w:val="00BC2AC8"/>
    <w:rsid w:val="00BC354B"/>
    <w:rsid w:val="00BC46D1"/>
    <w:rsid w:val="00BC69F6"/>
    <w:rsid w:val="00BD3532"/>
    <w:rsid w:val="00BD6C23"/>
    <w:rsid w:val="00BE5066"/>
    <w:rsid w:val="00BE7CF4"/>
    <w:rsid w:val="00BF0B55"/>
    <w:rsid w:val="00BF0FC1"/>
    <w:rsid w:val="00BF1072"/>
    <w:rsid w:val="00BF5805"/>
    <w:rsid w:val="00BF7D06"/>
    <w:rsid w:val="00C0384F"/>
    <w:rsid w:val="00C04F40"/>
    <w:rsid w:val="00C10FA6"/>
    <w:rsid w:val="00C1191C"/>
    <w:rsid w:val="00C168C9"/>
    <w:rsid w:val="00C30C4A"/>
    <w:rsid w:val="00C30EC9"/>
    <w:rsid w:val="00C40F3A"/>
    <w:rsid w:val="00C4335A"/>
    <w:rsid w:val="00C44604"/>
    <w:rsid w:val="00C47F02"/>
    <w:rsid w:val="00C639E6"/>
    <w:rsid w:val="00C65CF4"/>
    <w:rsid w:val="00C67C5D"/>
    <w:rsid w:val="00C725B3"/>
    <w:rsid w:val="00C77189"/>
    <w:rsid w:val="00C80B6D"/>
    <w:rsid w:val="00C86602"/>
    <w:rsid w:val="00C8687F"/>
    <w:rsid w:val="00C9213A"/>
    <w:rsid w:val="00C92AC8"/>
    <w:rsid w:val="00C974ED"/>
    <w:rsid w:val="00C97769"/>
    <w:rsid w:val="00CA044B"/>
    <w:rsid w:val="00CA1404"/>
    <w:rsid w:val="00CA3A08"/>
    <w:rsid w:val="00CB2E1D"/>
    <w:rsid w:val="00CB305E"/>
    <w:rsid w:val="00CC6076"/>
    <w:rsid w:val="00CD47E5"/>
    <w:rsid w:val="00CD655D"/>
    <w:rsid w:val="00CE16EA"/>
    <w:rsid w:val="00CE2D5C"/>
    <w:rsid w:val="00CE2DBF"/>
    <w:rsid w:val="00D00478"/>
    <w:rsid w:val="00D02EE8"/>
    <w:rsid w:val="00D073E6"/>
    <w:rsid w:val="00D11FB2"/>
    <w:rsid w:val="00D12C76"/>
    <w:rsid w:val="00D17778"/>
    <w:rsid w:val="00D22624"/>
    <w:rsid w:val="00D22F66"/>
    <w:rsid w:val="00D2785B"/>
    <w:rsid w:val="00D41D9D"/>
    <w:rsid w:val="00D43844"/>
    <w:rsid w:val="00D52A32"/>
    <w:rsid w:val="00D63748"/>
    <w:rsid w:val="00D6430F"/>
    <w:rsid w:val="00D6539D"/>
    <w:rsid w:val="00D71257"/>
    <w:rsid w:val="00D71687"/>
    <w:rsid w:val="00D73EDC"/>
    <w:rsid w:val="00D745B6"/>
    <w:rsid w:val="00D81D59"/>
    <w:rsid w:val="00D913A7"/>
    <w:rsid w:val="00D92024"/>
    <w:rsid w:val="00D9409C"/>
    <w:rsid w:val="00D94442"/>
    <w:rsid w:val="00D94EA2"/>
    <w:rsid w:val="00D95502"/>
    <w:rsid w:val="00D9719F"/>
    <w:rsid w:val="00DA0FB2"/>
    <w:rsid w:val="00DA26D1"/>
    <w:rsid w:val="00DB12B5"/>
    <w:rsid w:val="00DB22D3"/>
    <w:rsid w:val="00DB58C2"/>
    <w:rsid w:val="00DC1D7B"/>
    <w:rsid w:val="00DD4856"/>
    <w:rsid w:val="00DD74E1"/>
    <w:rsid w:val="00DE1069"/>
    <w:rsid w:val="00DE3495"/>
    <w:rsid w:val="00DE66E4"/>
    <w:rsid w:val="00DF1D2A"/>
    <w:rsid w:val="00E239A0"/>
    <w:rsid w:val="00E23F73"/>
    <w:rsid w:val="00E26402"/>
    <w:rsid w:val="00E26EA4"/>
    <w:rsid w:val="00E30405"/>
    <w:rsid w:val="00E36034"/>
    <w:rsid w:val="00E42C95"/>
    <w:rsid w:val="00E5127C"/>
    <w:rsid w:val="00E52C98"/>
    <w:rsid w:val="00E53E25"/>
    <w:rsid w:val="00E604A8"/>
    <w:rsid w:val="00E63AFA"/>
    <w:rsid w:val="00E73680"/>
    <w:rsid w:val="00E74BA3"/>
    <w:rsid w:val="00E77AE5"/>
    <w:rsid w:val="00E80ACD"/>
    <w:rsid w:val="00E82479"/>
    <w:rsid w:val="00E8617F"/>
    <w:rsid w:val="00EA060C"/>
    <w:rsid w:val="00EA1BF3"/>
    <w:rsid w:val="00EA602E"/>
    <w:rsid w:val="00EA6E1C"/>
    <w:rsid w:val="00EA7B27"/>
    <w:rsid w:val="00EA7BD0"/>
    <w:rsid w:val="00EB47AF"/>
    <w:rsid w:val="00EC195D"/>
    <w:rsid w:val="00EC7D01"/>
    <w:rsid w:val="00ED2A90"/>
    <w:rsid w:val="00ED3D17"/>
    <w:rsid w:val="00ED622B"/>
    <w:rsid w:val="00EE33AF"/>
    <w:rsid w:val="00EE6172"/>
    <w:rsid w:val="00EF0549"/>
    <w:rsid w:val="00EF18AC"/>
    <w:rsid w:val="00EF70E5"/>
    <w:rsid w:val="00F05FA9"/>
    <w:rsid w:val="00F12235"/>
    <w:rsid w:val="00F2105C"/>
    <w:rsid w:val="00F24B63"/>
    <w:rsid w:val="00F300F5"/>
    <w:rsid w:val="00F35D1C"/>
    <w:rsid w:val="00F4069C"/>
    <w:rsid w:val="00F42E96"/>
    <w:rsid w:val="00F5554A"/>
    <w:rsid w:val="00F61391"/>
    <w:rsid w:val="00F613B7"/>
    <w:rsid w:val="00F6232D"/>
    <w:rsid w:val="00F6286A"/>
    <w:rsid w:val="00F6423D"/>
    <w:rsid w:val="00F65505"/>
    <w:rsid w:val="00F67841"/>
    <w:rsid w:val="00F7197B"/>
    <w:rsid w:val="00F91ADD"/>
    <w:rsid w:val="00FA5065"/>
    <w:rsid w:val="00FA5AC6"/>
    <w:rsid w:val="00FB2B95"/>
    <w:rsid w:val="00FC1ECE"/>
    <w:rsid w:val="00FC6577"/>
    <w:rsid w:val="00FD14A3"/>
    <w:rsid w:val="00FD18B1"/>
    <w:rsid w:val="00FD2A4C"/>
    <w:rsid w:val="00FD36C3"/>
    <w:rsid w:val="00FD3F33"/>
    <w:rsid w:val="00FD68BF"/>
    <w:rsid w:val="00FE26E9"/>
    <w:rsid w:val="00FE27B1"/>
    <w:rsid w:val="00FF37B5"/>
    <w:rsid w:val="00FF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4C9F"/>
  <w15:docId w15:val="{E8799DC0-E64F-4AFC-B831-0A9D7610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D9D"/>
    <w:pPr>
      <w:spacing w:before="240" w:after="24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36C34"/>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41D9D"/>
    <w:pPr>
      <w:spacing w:after="0"/>
    </w:pPr>
    <w:rPr>
      <w:sz w:val="20"/>
      <w:szCs w:val="20"/>
    </w:rPr>
  </w:style>
  <w:style w:type="character" w:customStyle="1" w:styleId="FootnoteTextChar">
    <w:name w:val="Footnote Text Char"/>
    <w:basedOn w:val="DefaultParagraphFont"/>
    <w:link w:val="FootnoteText"/>
    <w:uiPriority w:val="99"/>
    <w:rsid w:val="00D41D9D"/>
    <w:rPr>
      <w:sz w:val="20"/>
      <w:szCs w:val="20"/>
    </w:rPr>
  </w:style>
  <w:style w:type="character" w:styleId="FootnoteReference">
    <w:name w:val="footnote reference"/>
    <w:basedOn w:val="DefaultParagraphFont"/>
    <w:uiPriority w:val="99"/>
    <w:unhideWhenUsed/>
    <w:rsid w:val="00D41D9D"/>
    <w:rPr>
      <w:vertAlign w:val="superscript"/>
    </w:rPr>
  </w:style>
  <w:style w:type="character" w:styleId="Hyperlink">
    <w:name w:val="Hyperlink"/>
    <w:basedOn w:val="DefaultParagraphFont"/>
    <w:uiPriority w:val="99"/>
    <w:unhideWhenUsed/>
    <w:rsid w:val="00CE2D5C"/>
    <w:rPr>
      <w:color w:val="0563C1" w:themeColor="hyperlink"/>
      <w:u w:val="single"/>
    </w:rPr>
  </w:style>
  <w:style w:type="paragraph" w:customStyle="1" w:styleId="Footnote">
    <w:name w:val="Footnote"/>
    <w:basedOn w:val="FootnoteText"/>
    <w:link w:val="FootnoteChar"/>
    <w:qFormat/>
    <w:rsid w:val="00CE2D5C"/>
    <w:pPr>
      <w:spacing w:before="0" w:after="120"/>
    </w:pPr>
    <w:rPr>
      <w:sz w:val="22"/>
      <w:szCs w:val="22"/>
    </w:rPr>
  </w:style>
  <w:style w:type="paragraph" w:customStyle="1" w:styleId="Default">
    <w:name w:val="Default"/>
    <w:rsid w:val="00CE2D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Char">
    <w:name w:val="Footnote Char"/>
    <w:basedOn w:val="FootnoteTextChar"/>
    <w:link w:val="Footnote"/>
    <w:rsid w:val="00CE2D5C"/>
    <w:rPr>
      <w:rFonts w:ascii="Times New Roman" w:hAnsi="Times New Roman" w:cs="Times New Roman"/>
      <w:sz w:val="20"/>
      <w:szCs w:val="20"/>
    </w:rPr>
  </w:style>
  <w:style w:type="table" w:styleId="TableGrid">
    <w:name w:val="Table Grid"/>
    <w:basedOn w:val="TableNormal"/>
    <w:uiPriority w:val="39"/>
    <w:rsid w:val="009F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20EC"/>
    <w:pPr>
      <w:tabs>
        <w:tab w:val="center" w:pos="4680"/>
        <w:tab w:val="right" w:pos="9360"/>
      </w:tabs>
      <w:spacing w:before="0" w:after="0"/>
    </w:pPr>
  </w:style>
  <w:style w:type="character" w:customStyle="1" w:styleId="HeaderChar">
    <w:name w:val="Header Char"/>
    <w:basedOn w:val="DefaultParagraphFont"/>
    <w:link w:val="Header"/>
    <w:uiPriority w:val="99"/>
    <w:rsid w:val="009520EC"/>
    <w:rPr>
      <w:rFonts w:ascii="Times New Roman" w:hAnsi="Times New Roman" w:cs="Times New Roman"/>
      <w:sz w:val="24"/>
      <w:szCs w:val="24"/>
    </w:rPr>
  </w:style>
  <w:style w:type="paragraph" w:styleId="Footer">
    <w:name w:val="footer"/>
    <w:basedOn w:val="Normal"/>
    <w:link w:val="FooterChar"/>
    <w:uiPriority w:val="99"/>
    <w:unhideWhenUsed/>
    <w:rsid w:val="009520EC"/>
    <w:pPr>
      <w:tabs>
        <w:tab w:val="center" w:pos="4680"/>
        <w:tab w:val="right" w:pos="9360"/>
      </w:tabs>
      <w:spacing w:before="0" w:after="0"/>
    </w:pPr>
  </w:style>
  <w:style w:type="character" w:customStyle="1" w:styleId="FooterChar">
    <w:name w:val="Footer Char"/>
    <w:basedOn w:val="DefaultParagraphFont"/>
    <w:link w:val="Footer"/>
    <w:uiPriority w:val="99"/>
    <w:rsid w:val="009520E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A4D9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D95"/>
    <w:rPr>
      <w:rFonts w:ascii="Segoe UI" w:hAnsi="Segoe UI" w:cs="Segoe UI"/>
      <w:sz w:val="18"/>
      <w:szCs w:val="18"/>
    </w:rPr>
  </w:style>
  <w:style w:type="character" w:styleId="CommentReference">
    <w:name w:val="annotation reference"/>
    <w:basedOn w:val="DefaultParagraphFont"/>
    <w:uiPriority w:val="99"/>
    <w:semiHidden/>
    <w:unhideWhenUsed/>
    <w:rsid w:val="008A4D95"/>
    <w:rPr>
      <w:sz w:val="16"/>
      <w:szCs w:val="16"/>
    </w:rPr>
  </w:style>
  <w:style w:type="paragraph" w:styleId="CommentText">
    <w:name w:val="annotation text"/>
    <w:basedOn w:val="Normal"/>
    <w:link w:val="CommentTextChar"/>
    <w:uiPriority w:val="99"/>
    <w:semiHidden/>
    <w:unhideWhenUsed/>
    <w:rsid w:val="008A4D95"/>
    <w:rPr>
      <w:sz w:val="20"/>
      <w:szCs w:val="20"/>
    </w:rPr>
  </w:style>
  <w:style w:type="character" w:customStyle="1" w:styleId="CommentTextChar">
    <w:name w:val="Comment Text Char"/>
    <w:basedOn w:val="DefaultParagraphFont"/>
    <w:link w:val="CommentText"/>
    <w:uiPriority w:val="99"/>
    <w:semiHidden/>
    <w:rsid w:val="008A4D9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4D95"/>
    <w:rPr>
      <w:b/>
      <w:bCs/>
    </w:rPr>
  </w:style>
  <w:style w:type="character" w:customStyle="1" w:styleId="CommentSubjectChar">
    <w:name w:val="Comment Subject Char"/>
    <w:basedOn w:val="CommentTextChar"/>
    <w:link w:val="CommentSubject"/>
    <w:uiPriority w:val="99"/>
    <w:semiHidden/>
    <w:rsid w:val="008A4D95"/>
    <w:rPr>
      <w:rFonts w:ascii="Times New Roman" w:hAnsi="Times New Roman" w:cs="Times New Roman"/>
      <w:b/>
      <w:bCs/>
      <w:sz w:val="20"/>
      <w:szCs w:val="20"/>
    </w:rPr>
  </w:style>
  <w:style w:type="paragraph" w:styleId="ListParagraph">
    <w:name w:val="List Paragraph"/>
    <w:basedOn w:val="Normal"/>
    <w:link w:val="ListParagraphChar"/>
    <w:uiPriority w:val="34"/>
    <w:qFormat/>
    <w:rsid w:val="005B0EB5"/>
    <w:pPr>
      <w:ind w:left="720"/>
      <w:contextualSpacing/>
    </w:pPr>
  </w:style>
  <w:style w:type="character" w:styleId="PlaceholderText">
    <w:name w:val="Placeholder Text"/>
    <w:basedOn w:val="DefaultParagraphFont"/>
    <w:uiPriority w:val="99"/>
    <w:semiHidden/>
    <w:rsid w:val="005655C7"/>
    <w:rPr>
      <w:color w:val="808080"/>
    </w:rPr>
  </w:style>
  <w:style w:type="paragraph" w:styleId="Bibliography">
    <w:name w:val="Bibliography"/>
    <w:basedOn w:val="Normal"/>
    <w:next w:val="Normal"/>
    <w:uiPriority w:val="37"/>
    <w:semiHidden/>
    <w:unhideWhenUsed/>
    <w:rsid w:val="0005359C"/>
  </w:style>
  <w:style w:type="paragraph" w:customStyle="1" w:styleId="Footnotetextwithnumber">
    <w:name w:val="Footnote text (with number)"/>
    <w:basedOn w:val="FootnoteText"/>
    <w:qFormat/>
    <w:rsid w:val="00E80ACD"/>
    <w:pPr>
      <w:keepLines/>
      <w:suppressAutoHyphens/>
      <w:spacing w:before="60" w:line="200" w:lineRule="exact"/>
      <w:ind w:left="115" w:hanging="115"/>
    </w:pPr>
    <w:rPr>
      <w:rFonts w:ascii="Calibri Light" w:hAnsi="Calibri Light"/>
      <w:color w:val="000000" w:themeColor="text1"/>
      <w:sz w:val="18"/>
      <w:szCs w:val="18"/>
    </w:rPr>
  </w:style>
  <w:style w:type="paragraph" w:styleId="NormalWeb">
    <w:name w:val="Normal (Web)"/>
    <w:basedOn w:val="Normal"/>
    <w:uiPriority w:val="99"/>
    <w:semiHidden/>
    <w:unhideWhenUsed/>
    <w:rsid w:val="00147273"/>
    <w:pPr>
      <w:spacing w:before="100" w:beforeAutospacing="1" w:after="100" w:afterAutospacing="1"/>
    </w:pPr>
    <w:rPr>
      <w:rFonts w:eastAsia="Times New Roman"/>
    </w:rPr>
  </w:style>
  <w:style w:type="paragraph" w:customStyle="1" w:styleId="OurHeading1">
    <w:name w:val="Our Heading1"/>
    <w:basedOn w:val="ListParagraph"/>
    <w:link w:val="OurHeading1Char"/>
    <w:qFormat/>
    <w:rsid w:val="00EE6172"/>
    <w:pPr>
      <w:keepNext/>
      <w:numPr>
        <w:numId w:val="1"/>
      </w:numPr>
      <w:spacing w:before="120" w:after="120" w:line="360" w:lineRule="auto"/>
      <w:ind w:left="360"/>
    </w:pPr>
    <w:rPr>
      <w:b/>
    </w:rPr>
  </w:style>
  <w:style w:type="paragraph" w:customStyle="1" w:styleId="Ourbodytext">
    <w:name w:val="Our body text"/>
    <w:basedOn w:val="Normal"/>
    <w:link w:val="OurbodytextChar"/>
    <w:qFormat/>
    <w:rsid w:val="008C52FD"/>
    <w:pPr>
      <w:spacing w:before="120" w:after="120" w:line="360" w:lineRule="auto"/>
      <w:ind w:firstLine="720"/>
    </w:pPr>
  </w:style>
  <w:style w:type="character" w:customStyle="1" w:styleId="ListParagraphChar">
    <w:name w:val="List Paragraph Char"/>
    <w:basedOn w:val="DefaultParagraphFont"/>
    <w:link w:val="ListParagraph"/>
    <w:uiPriority w:val="34"/>
    <w:rsid w:val="00EE6172"/>
    <w:rPr>
      <w:rFonts w:ascii="Times New Roman" w:hAnsi="Times New Roman" w:cs="Times New Roman"/>
      <w:sz w:val="24"/>
      <w:szCs w:val="24"/>
    </w:rPr>
  </w:style>
  <w:style w:type="character" w:customStyle="1" w:styleId="OurHeading1Char">
    <w:name w:val="Our Heading1 Char"/>
    <w:basedOn w:val="ListParagraphChar"/>
    <w:link w:val="OurHeading1"/>
    <w:rsid w:val="00EE6172"/>
    <w:rPr>
      <w:rFonts w:ascii="Times New Roman" w:hAnsi="Times New Roman" w:cs="Times New Roman"/>
      <w:b/>
      <w:sz w:val="24"/>
      <w:szCs w:val="24"/>
    </w:rPr>
  </w:style>
  <w:style w:type="paragraph" w:customStyle="1" w:styleId="OurHeading2">
    <w:name w:val="Our Heading2"/>
    <w:basedOn w:val="Normal"/>
    <w:link w:val="OurHeading2Char"/>
    <w:qFormat/>
    <w:rsid w:val="00036C34"/>
    <w:pPr>
      <w:keepNext/>
      <w:spacing w:before="120" w:after="120" w:line="360" w:lineRule="auto"/>
    </w:pPr>
    <w:rPr>
      <w:i/>
    </w:rPr>
  </w:style>
  <w:style w:type="character" w:customStyle="1" w:styleId="OurbodytextChar">
    <w:name w:val="Our body text Char"/>
    <w:basedOn w:val="DefaultParagraphFont"/>
    <w:link w:val="Ourbodytext"/>
    <w:rsid w:val="008C52F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6C34"/>
    <w:rPr>
      <w:rFonts w:asciiTheme="majorHAnsi" w:eastAsiaTheme="majorEastAsia" w:hAnsiTheme="majorHAnsi" w:cstheme="majorBidi"/>
      <w:color w:val="2E74B5" w:themeColor="accent1" w:themeShade="BF"/>
      <w:sz w:val="32"/>
      <w:szCs w:val="32"/>
    </w:rPr>
  </w:style>
  <w:style w:type="character" w:customStyle="1" w:styleId="OurHeading2Char">
    <w:name w:val="Our Heading2 Char"/>
    <w:basedOn w:val="DefaultParagraphFont"/>
    <w:link w:val="OurHeading2"/>
    <w:rsid w:val="00036C34"/>
    <w:rPr>
      <w:rFonts w:ascii="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8055">
      <w:bodyDiv w:val="1"/>
      <w:marLeft w:val="0"/>
      <w:marRight w:val="0"/>
      <w:marTop w:val="0"/>
      <w:marBottom w:val="0"/>
      <w:divBdr>
        <w:top w:val="none" w:sz="0" w:space="0" w:color="auto"/>
        <w:left w:val="none" w:sz="0" w:space="0" w:color="auto"/>
        <w:bottom w:val="none" w:sz="0" w:space="0" w:color="auto"/>
        <w:right w:val="none" w:sz="0" w:space="0" w:color="auto"/>
      </w:divBdr>
    </w:div>
    <w:div w:id="169417550">
      <w:bodyDiv w:val="1"/>
      <w:marLeft w:val="0"/>
      <w:marRight w:val="0"/>
      <w:marTop w:val="0"/>
      <w:marBottom w:val="0"/>
      <w:divBdr>
        <w:top w:val="none" w:sz="0" w:space="0" w:color="auto"/>
        <w:left w:val="none" w:sz="0" w:space="0" w:color="auto"/>
        <w:bottom w:val="none" w:sz="0" w:space="0" w:color="auto"/>
        <w:right w:val="none" w:sz="0" w:space="0" w:color="auto"/>
      </w:divBdr>
    </w:div>
    <w:div w:id="268204203">
      <w:bodyDiv w:val="1"/>
      <w:marLeft w:val="0"/>
      <w:marRight w:val="0"/>
      <w:marTop w:val="0"/>
      <w:marBottom w:val="0"/>
      <w:divBdr>
        <w:top w:val="none" w:sz="0" w:space="0" w:color="auto"/>
        <w:left w:val="none" w:sz="0" w:space="0" w:color="auto"/>
        <w:bottom w:val="none" w:sz="0" w:space="0" w:color="auto"/>
        <w:right w:val="none" w:sz="0" w:space="0" w:color="auto"/>
      </w:divBdr>
    </w:div>
    <w:div w:id="1158419384">
      <w:bodyDiv w:val="1"/>
      <w:marLeft w:val="0"/>
      <w:marRight w:val="0"/>
      <w:marTop w:val="0"/>
      <w:marBottom w:val="0"/>
      <w:divBdr>
        <w:top w:val="none" w:sz="0" w:space="0" w:color="auto"/>
        <w:left w:val="none" w:sz="0" w:space="0" w:color="auto"/>
        <w:bottom w:val="none" w:sz="0" w:space="0" w:color="auto"/>
        <w:right w:val="none" w:sz="0" w:space="0" w:color="auto"/>
      </w:divBdr>
    </w:div>
    <w:div w:id="1784108941">
      <w:bodyDiv w:val="1"/>
      <w:marLeft w:val="0"/>
      <w:marRight w:val="0"/>
      <w:marTop w:val="0"/>
      <w:marBottom w:val="0"/>
      <w:divBdr>
        <w:top w:val="none" w:sz="0" w:space="0" w:color="auto"/>
        <w:left w:val="none" w:sz="0" w:space="0" w:color="auto"/>
        <w:bottom w:val="none" w:sz="0" w:space="0" w:color="auto"/>
        <w:right w:val="none" w:sz="0" w:space="0" w:color="auto"/>
      </w:divBdr>
    </w:div>
    <w:div w:id="1926258888">
      <w:bodyDiv w:val="1"/>
      <w:marLeft w:val="0"/>
      <w:marRight w:val="0"/>
      <w:marTop w:val="0"/>
      <w:marBottom w:val="0"/>
      <w:divBdr>
        <w:top w:val="none" w:sz="0" w:space="0" w:color="auto"/>
        <w:left w:val="none" w:sz="0" w:space="0" w:color="auto"/>
        <w:bottom w:val="none" w:sz="0" w:space="0" w:color="auto"/>
        <w:right w:val="none" w:sz="0" w:space="0" w:color="auto"/>
      </w:divBdr>
    </w:div>
    <w:div w:id="2055079998">
      <w:bodyDiv w:val="1"/>
      <w:marLeft w:val="0"/>
      <w:marRight w:val="0"/>
      <w:marTop w:val="0"/>
      <w:marBottom w:val="0"/>
      <w:divBdr>
        <w:top w:val="none" w:sz="0" w:space="0" w:color="auto"/>
        <w:left w:val="none" w:sz="0" w:space="0" w:color="auto"/>
        <w:bottom w:val="none" w:sz="0" w:space="0" w:color="auto"/>
        <w:right w:val="none" w:sz="0" w:space="0" w:color="auto"/>
      </w:divBdr>
    </w:div>
    <w:div w:id="2122260626">
      <w:bodyDiv w:val="1"/>
      <w:marLeft w:val="0"/>
      <w:marRight w:val="0"/>
      <w:marTop w:val="0"/>
      <w:marBottom w:val="0"/>
      <w:divBdr>
        <w:top w:val="none" w:sz="0" w:space="0" w:color="auto"/>
        <w:left w:val="none" w:sz="0" w:space="0" w:color="auto"/>
        <w:bottom w:val="none" w:sz="0" w:space="0" w:color="auto"/>
        <w:right w:val="none" w:sz="0" w:space="0" w:color="auto"/>
      </w:divBdr>
      <w:divsChild>
        <w:div w:id="1569413546">
          <w:marLeft w:val="0"/>
          <w:marRight w:val="0"/>
          <w:marTop w:val="0"/>
          <w:marBottom w:val="0"/>
          <w:divBdr>
            <w:top w:val="none" w:sz="0" w:space="0" w:color="auto"/>
            <w:left w:val="none" w:sz="0" w:space="0" w:color="auto"/>
            <w:bottom w:val="none" w:sz="0" w:space="0" w:color="auto"/>
            <w:right w:val="none" w:sz="0" w:space="0" w:color="auto"/>
          </w:divBdr>
        </w:div>
        <w:div w:id="2002417862">
          <w:marLeft w:val="0"/>
          <w:marRight w:val="0"/>
          <w:marTop w:val="0"/>
          <w:marBottom w:val="0"/>
          <w:divBdr>
            <w:top w:val="none" w:sz="0" w:space="0" w:color="auto"/>
            <w:left w:val="none" w:sz="0" w:space="0" w:color="auto"/>
            <w:bottom w:val="none" w:sz="0" w:space="0" w:color="auto"/>
            <w:right w:val="none" w:sz="0" w:space="0" w:color="auto"/>
          </w:divBdr>
        </w:div>
      </w:divsChild>
    </w:div>
    <w:div w:id="2138643156">
      <w:bodyDiv w:val="1"/>
      <w:marLeft w:val="0"/>
      <w:marRight w:val="0"/>
      <w:marTop w:val="0"/>
      <w:marBottom w:val="0"/>
      <w:divBdr>
        <w:top w:val="none" w:sz="0" w:space="0" w:color="auto"/>
        <w:left w:val="none" w:sz="0" w:space="0" w:color="auto"/>
        <w:bottom w:val="none" w:sz="0" w:space="0" w:color="auto"/>
        <w:right w:val="none" w:sz="0" w:space="0" w:color="auto"/>
      </w:divBdr>
      <w:divsChild>
        <w:div w:id="1088499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E7148-548D-46AD-89F6-91BAC883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9732</Words>
  <Characters>55474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Spencer Banzhaf</dc:creator>
  <cp:lastModifiedBy>Spencer Banzhaf</cp:lastModifiedBy>
  <cp:revision>9</cp:revision>
  <cp:lastPrinted>2018-12-14T22:27:00Z</cp:lastPrinted>
  <dcterms:created xsi:type="dcterms:W3CDTF">2018-12-21T21:10:00Z</dcterms:created>
  <dcterms:modified xsi:type="dcterms:W3CDTF">2019-01-10T20:37:00Z</dcterms:modified>
</cp:coreProperties>
</file>